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Default Extension="jpeg" ContentType="image/jpeg"/>
  <Default Extension="emf" ContentType="image/x-e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60"/>
        <w:gridCol w:w="12510"/>
      </w:tblGrid>
      <w:tr w:rsidR="003A5DED" w:rsidRPr="00D56CFB" w:rsidTr="008A2651">
        <w:tc>
          <w:tcPr>
            <w:tcW w:w="24570" w:type="dxa"/>
            <w:gridSpan w:val="2"/>
            <w:shd w:val="clear" w:color="auto" w:fill="auto"/>
          </w:tcPr>
          <w:p w:rsidR="00C01093" w:rsidRDefault="00E52BE6" w:rsidP="00C010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B0F0"/>
                <w:sz w:val="52"/>
                <w:szCs w:val="52"/>
              </w:rPr>
            </w:pPr>
            <w:r w:rsidRPr="00C06E59">
              <w:rPr>
                <w:rFonts w:ascii="Times New Roman" w:hAnsi="Times New Roman"/>
                <w:b/>
                <w:bCs/>
                <w:noProof/>
                <w:sz w:val="40"/>
                <w:szCs w:val="40"/>
                <w:lang w:val="en-GB" w:eastAsia="en-GB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9" type="#_x0000_t202" style="position:absolute;left:0;text-align:left;margin-left:1090.3pt;margin-top:.05pt;width:115.25pt;height:86.3pt;z-index:251654144;mso-wrap-style:none" fillcolor="#c9c9c9" strokecolor="#c9c9c9" strokeweight="1pt">
                  <v:fill color2="#ededed" angle="-45" focus="-50%" type="gradient"/>
                  <v:shadow on="t" type="perspective" color="#525252" opacity=".5" offset="1pt" offset2="-3pt"/>
                  <v:textbox style="mso-next-textbox:#_x0000_s1099">
                    <w:txbxContent>
                      <w:p w:rsidR="00E52BE6" w:rsidRDefault="00F13C6D" w:rsidP="00E52BE6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266825" cy="990600"/>
                              <wp:effectExtent l="19050" t="0" r="9525" b="0"/>
                              <wp:docPr id="5" name="Picture 6" descr="pregnant woman, stylized vector symbol - 241588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pregnant woman, stylized vector symbol - 241588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266825" cy="990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3A5DED" w:rsidRPr="00C06E59">
              <w:rPr>
                <w:rFonts w:ascii="Arial Black" w:hAnsi="Arial Black"/>
                <w:b/>
                <w:bCs/>
                <w:sz w:val="40"/>
                <w:szCs w:val="40"/>
                <w:lang w:val="it-IT"/>
              </w:rPr>
              <w:t>Campania</w:t>
            </w:r>
            <w:r w:rsidR="001D59BE">
              <w:rPr>
                <w:rFonts w:ascii="Arial Black" w:hAnsi="Arial Black"/>
                <w:b/>
                <w:bCs/>
                <w:sz w:val="44"/>
                <w:szCs w:val="44"/>
                <w:lang w:val="it-IT"/>
              </w:rPr>
              <w:t xml:space="preserve"> </w:t>
            </w:r>
            <w:r w:rsidR="00BF03AD" w:rsidRPr="00C06E59">
              <w:rPr>
                <w:rFonts w:ascii="Times New Roman" w:hAnsi="Times New Roman"/>
                <w:b/>
                <w:bCs/>
                <w:i/>
                <w:color w:val="00B0F0"/>
                <w:sz w:val="52"/>
                <w:szCs w:val="52"/>
              </w:rPr>
              <w:t>“Să cunoaștem, să prevenim, să protejăm</w:t>
            </w:r>
          </w:p>
          <w:p w:rsidR="001004C8" w:rsidRPr="00C06E59" w:rsidRDefault="00BF03AD" w:rsidP="00C01093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52"/>
                <w:szCs w:val="52"/>
                <w:lang w:val="it-IT"/>
              </w:rPr>
            </w:pPr>
            <w:r w:rsidRPr="00C06E59">
              <w:rPr>
                <w:rFonts w:ascii="Times New Roman" w:hAnsi="Times New Roman"/>
                <w:b/>
                <w:bCs/>
                <w:i/>
                <w:color w:val="00B0F0"/>
                <w:sz w:val="52"/>
                <w:szCs w:val="52"/>
              </w:rPr>
              <w:t>- pentru siguranța</w:t>
            </w:r>
            <w:r w:rsidR="001D59BE" w:rsidRPr="00C06E59">
              <w:rPr>
                <w:rFonts w:ascii="Times New Roman" w:hAnsi="Times New Roman"/>
                <w:b/>
                <w:bCs/>
                <w:i/>
                <w:color w:val="00B0F0"/>
                <w:sz w:val="52"/>
                <w:szCs w:val="52"/>
              </w:rPr>
              <w:t xml:space="preserve"> </w:t>
            </w:r>
            <w:r w:rsidRPr="00C06E59">
              <w:rPr>
                <w:rFonts w:ascii="Times New Roman" w:hAnsi="Times New Roman"/>
                <w:b/>
                <w:bCs/>
                <w:i/>
                <w:color w:val="00B0F0"/>
                <w:sz w:val="52"/>
                <w:szCs w:val="52"/>
              </w:rPr>
              <w:t xml:space="preserve">îngrijirii </w:t>
            </w:r>
            <w:r w:rsidR="007A331F" w:rsidRPr="00C06E59">
              <w:rPr>
                <w:rFonts w:ascii="Times New Roman" w:hAnsi="Times New Roman"/>
                <w:b/>
                <w:bCs/>
                <w:i/>
                <w:color w:val="00B0F0"/>
                <w:sz w:val="52"/>
                <w:szCs w:val="52"/>
              </w:rPr>
              <w:t>sănătății</w:t>
            </w:r>
            <w:r w:rsidR="00C01093">
              <w:rPr>
                <w:rFonts w:ascii="Times New Roman" w:hAnsi="Times New Roman"/>
                <w:b/>
                <w:bCs/>
                <w:i/>
                <w:color w:val="00B0F0"/>
                <w:sz w:val="52"/>
                <w:szCs w:val="52"/>
              </w:rPr>
              <w:t xml:space="preserve"> </w:t>
            </w:r>
            <w:r w:rsidRPr="00C01093">
              <w:rPr>
                <w:rFonts w:ascii="Times New Roman" w:hAnsi="Times New Roman"/>
                <w:b/>
                <w:bCs/>
                <w:i/>
                <w:color w:val="00B0F0"/>
                <w:sz w:val="52"/>
                <w:szCs w:val="52"/>
              </w:rPr>
              <w:t>mamei și nou-născutului!”</w:t>
            </w:r>
          </w:p>
          <w:p w:rsidR="003A5DED" w:rsidRPr="00FF4864" w:rsidRDefault="001004C8" w:rsidP="001004C8">
            <w:pPr>
              <w:spacing w:after="0" w:line="240" w:lineRule="auto"/>
              <w:jc w:val="center"/>
              <w:rPr>
                <w:rFonts w:ascii="Arial Black" w:hAnsi="Arial Black"/>
                <w:b/>
                <w:bCs/>
                <w:sz w:val="32"/>
                <w:szCs w:val="32"/>
                <w:lang w:val="fr-FR"/>
              </w:rPr>
            </w:pPr>
            <w:r w:rsidRPr="00C06E59">
              <w:rPr>
                <w:rFonts w:ascii="Arial Black" w:hAnsi="Arial Black"/>
                <w:b/>
                <w:bCs/>
                <w:sz w:val="32"/>
                <w:szCs w:val="32"/>
                <w:lang w:val="it-IT"/>
              </w:rPr>
              <w:t>se</w:t>
            </w:r>
            <w:r w:rsidRPr="00FF4864">
              <w:rPr>
                <w:rFonts w:ascii="Arial Black" w:hAnsi="Arial Black"/>
                <w:b/>
                <w:bCs/>
                <w:sz w:val="32"/>
                <w:szCs w:val="32"/>
                <w:lang w:val="fr-FR"/>
              </w:rPr>
              <w:t>ptembrie</w:t>
            </w:r>
            <w:r w:rsidR="003A5DED" w:rsidRPr="00FF4864">
              <w:rPr>
                <w:rFonts w:ascii="Arial Black" w:hAnsi="Arial Black"/>
                <w:b/>
                <w:bCs/>
                <w:sz w:val="32"/>
                <w:szCs w:val="32"/>
                <w:lang w:val="fr-FR"/>
              </w:rPr>
              <w:t xml:space="preserve"> 202</w:t>
            </w:r>
            <w:r w:rsidRPr="00FF4864">
              <w:rPr>
                <w:rFonts w:ascii="Arial Black" w:hAnsi="Arial Black"/>
                <w:b/>
                <w:bCs/>
                <w:sz w:val="32"/>
                <w:szCs w:val="32"/>
                <w:lang w:val="fr-FR"/>
              </w:rPr>
              <w:t>1</w:t>
            </w:r>
          </w:p>
        </w:tc>
      </w:tr>
      <w:tr w:rsidR="00F265C6" w:rsidRPr="00D56CFB" w:rsidTr="00C5771A">
        <w:trPr>
          <w:trHeight w:val="96"/>
        </w:trPr>
        <w:tc>
          <w:tcPr>
            <w:tcW w:w="24570" w:type="dxa"/>
            <w:gridSpan w:val="2"/>
            <w:shd w:val="clear" w:color="auto" w:fill="FFFFFF"/>
          </w:tcPr>
          <w:p w:rsidR="00F265C6" w:rsidRPr="00BF03AD" w:rsidRDefault="007F7951" w:rsidP="003E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</w:rPr>
              <w:pict>
                <v:shape id="_x0000_s1074" type="#_x0000_t202" style="position:absolute;margin-left:826.75pt;margin-top:2pt;width:385.6pt;height:185.5pt;z-index:251651072;mso-position-horizontal-relative:text;mso-position-vertical-relative:text">
                  <v:textbox style="mso-next-textbox:#_x0000_s1074">
                    <w:txbxContent>
                      <w:p w:rsidR="00A9590D" w:rsidRPr="00FF4864" w:rsidRDefault="00A9590D" w:rsidP="00A9590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vertAlign w:val="superscript"/>
                            <w:lang w:val="fr-FR"/>
                          </w:rPr>
                        </w:pPr>
                        <w:r w:rsidRPr="00E26EA8">
                          <w:rPr>
                            <w:rFonts w:ascii="Times New Roman" w:hAnsi="Times New Roman"/>
                            <w:b/>
                            <w:color w:val="C00000"/>
                            <w:sz w:val="24"/>
                            <w:szCs w:val="24"/>
                            <w:lang w:val="fr-FR"/>
                          </w:rPr>
                          <w:t>Rata natalității</w:t>
                        </w:r>
                        <w:r w:rsidRPr="00FF4864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în România în anul 2019</w:t>
                        </w:r>
                      </w:p>
                      <w:p w:rsidR="003E181C" w:rsidRPr="009A023A" w:rsidRDefault="00F13C6D" w:rsidP="009A023A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</w:rPr>
                          <w:drawing>
                            <wp:inline distT="0" distB="0" distL="0" distR="0">
                              <wp:extent cx="4572000" cy="2124075"/>
                              <wp:effectExtent l="19050" t="0" r="0" b="0"/>
                              <wp:docPr id="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0" cy="2124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F265C6" w:rsidRPr="00BF03AD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 xml:space="preserve">      </w:t>
            </w:r>
            <w:r w:rsidR="005063B7" w:rsidRPr="00BF03AD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 xml:space="preserve">         </w:t>
            </w:r>
            <w:r w:rsidR="00BF03AD" w:rsidRPr="00BF03AD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 xml:space="preserve">          </w:t>
            </w:r>
            <w:r w:rsidR="0016238E" w:rsidRPr="00BF03AD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 xml:space="preserve">  </w:t>
            </w:r>
            <w:r w:rsidR="00034D31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 xml:space="preserve">                                        </w:t>
            </w:r>
            <w:r w:rsidR="00BF03AD" w:rsidRPr="00BF03AD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 xml:space="preserve"> </w:t>
            </w:r>
            <w:r w:rsidR="005063B7" w:rsidRPr="00BF03AD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>ROM</w:t>
            </w:r>
            <w:r w:rsidR="00E52BE6" w:rsidRPr="00BF03AD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>Â</w:t>
            </w:r>
            <w:r w:rsidR="005063B7" w:rsidRPr="00BF03AD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>NIA</w:t>
            </w:r>
            <w:r w:rsidR="00BF03AD" w:rsidRPr="00BF03AD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 xml:space="preserve"> vs UE</w:t>
            </w:r>
            <w:r w:rsidR="005063B7" w:rsidRPr="00BF03AD">
              <w:rPr>
                <w:rFonts w:ascii="Times New Roman" w:hAnsi="Times New Roman"/>
                <w:b/>
                <w:bCs/>
                <w:sz w:val="36"/>
                <w:szCs w:val="36"/>
                <w:lang w:val="it-IT"/>
              </w:rPr>
              <w:t>:</w:t>
            </w:r>
          </w:p>
          <w:p w:rsidR="00BF03AD" w:rsidRDefault="00354F88" w:rsidP="00BF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ro-RO"/>
              </w:rPr>
            </w:pPr>
            <w:r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    </w:t>
            </w:r>
            <w:r w:rsidR="0016238E"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Dinamica </w:t>
            </w:r>
            <w:r w:rsidR="0016238E" w:rsidRPr="00C01093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fr-FR"/>
              </w:rPr>
              <w:t>ratei natalit</w:t>
            </w:r>
            <w:r w:rsidR="0016238E" w:rsidRPr="00C01093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ro-RO"/>
              </w:rPr>
              <w:t>ăț</w:t>
            </w:r>
            <w:r w:rsidR="0016238E" w:rsidRPr="00C01093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  <w:lang w:val="fr-FR"/>
              </w:rPr>
              <w:t>ii</w:t>
            </w:r>
            <w:r w:rsidR="0016238E"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9F7318"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la 1000 </w:t>
            </w:r>
            <w:r w:rsidR="00786A02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locuitori </w:t>
            </w:r>
            <w:r w:rsidR="009F7318"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16238E"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>în România vs media UE</w:t>
            </w:r>
            <w:r w:rsidR="00BF03AD"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    </w:t>
            </w:r>
            <w:r w:rsidR="007E1D6B"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  </w:t>
            </w:r>
            <w:r w:rsidR="009A023A"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              </w:t>
            </w:r>
            <w:r w:rsidR="007E1D6B"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 </w:t>
            </w:r>
            <w:r w:rsidR="00BF03AD"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  </w:t>
            </w:r>
          </w:p>
          <w:p w:rsidR="009F7318" w:rsidRPr="007C19C4" w:rsidRDefault="006F1707" w:rsidP="00BF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b/>
                <w:bCs/>
                <w:sz w:val="24"/>
                <w:szCs w:val="24"/>
                <w:vertAlign w:val="superscript"/>
                <w:lang w:val="fr-FR"/>
              </w:rPr>
            </w:pPr>
            <w:r>
              <w:rPr>
                <w:rFonts w:ascii="Times New Roman" w:hAnsi="Times New Roman"/>
                <w:noProof/>
                <w:lang w:val="en-GB" w:eastAsia="en-GB"/>
              </w:rPr>
              <w:pict>
                <v:shape id="_x0000_s1110" type="#_x0000_t202" style="position:absolute;margin-left:440.75pt;margin-top:8.75pt;width:362.3pt;height:228.95pt;z-index:251658240;mso-wrap-style:none" fillcolor="#9cc2e5" strokecolor="#5b9bd5" strokeweight="1pt">
                  <v:fill color2="#5b9bd5" focus="50%" type="gradient"/>
                  <v:shadow on="t" type="perspective" color="#1f4d78" offset="1pt" offset2="-3pt"/>
                  <v:textbox style="mso-next-textbox:#_x0000_s1110">
                    <w:txbxContent>
                      <w:p w:rsidR="006F1707" w:rsidRDefault="006F1707" w:rsidP="006F1707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vertAlign w:val="superscript"/>
                            <w:lang w:val="ro-RO"/>
                          </w:rPr>
                        </w:pPr>
                        <w:r w:rsidRPr="000E2C59">
                          <w:rPr>
                            <w:rFonts w:ascii="Times New Roman" w:hAnsi="Times New Roman"/>
                            <w:b/>
                            <w:color w:val="C00000"/>
                            <w:sz w:val="24"/>
                            <w:szCs w:val="24"/>
                            <w:lang w:val="ro-RO"/>
                          </w:rPr>
                          <w:t>Mortalitate</w:t>
                        </w:r>
                        <w:r w:rsidR="00E26EA8">
                          <w:rPr>
                            <w:rFonts w:ascii="Times New Roman" w:hAnsi="Times New Roman"/>
                            <w:b/>
                            <w:color w:val="C00000"/>
                            <w:sz w:val="24"/>
                            <w:szCs w:val="24"/>
                            <w:lang w:val="ro-RO"/>
                          </w:rPr>
                          <w:t>a</w:t>
                        </w:r>
                        <w:r w:rsidRPr="000E2C59">
                          <w:rPr>
                            <w:rFonts w:ascii="Times New Roman" w:hAnsi="Times New Roman"/>
                            <w:b/>
                            <w:color w:val="C00000"/>
                            <w:sz w:val="24"/>
                            <w:szCs w:val="24"/>
                            <w:lang w:val="ro-RO"/>
                          </w:rPr>
                          <w:t xml:space="preserve"> maternă</w:t>
                        </w:r>
                        <w:r w:rsidRPr="007E1D6B">
                          <w:rPr>
                            <w:rFonts w:ascii="Times New Roman" w:hAnsi="Times New Roman"/>
                            <w:b/>
                            <w:sz w:val="24"/>
                            <w:szCs w:val="24"/>
                            <w:lang w:val="ro-RO"/>
                          </w:rPr>
                          <w:t xml:space="preserve"> la 1000 născuți vii în RO vs UE</w:t>
                        </w:r>
                      </w:p>
                      <w:p w:rsidR="003C2B71" w:rsidRDefault="00F13C6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400550" cy="2409825"/>
                              <wp:effectExtent l="19050" t="0" r="0" b="0"/>
                              <wp:docPr id="4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400550" cy="2409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F7318" w:rsidRPr="00FF4864">
              <w:rPr>
                <w:rFonts w:ascii="Times New Roman" w:eastAsia="Times New Roman" w:hAnsi="Times New Roman"/>
                <w:b/>
                <w:sz w:val="24"/>
                <w:szCs w:val="24"/>
                <w:lang w:val="fr-FR"/>
              </w:rPr>
              <w:t xml:space="preserve">                                              </w:t>
            </w:r>
            <w:r w:rsidR="009F7318" w:rsidRPr="007E1D6B">
              <w:rPr>
                <w:rFonts w:ascii="Times New Roman" w:eastAsia="Times New Roman" w:hAnsi="Times New Roman"/>
                <w:b/>
                <w:sz w:val="24"/>
                <w:szCs w:val="24"/>
              </w:rPr>
              <w:t>în intervalul 2011-2020</w:t>
            </w:r>
          </w:p>
          <w:p w:rsidR="00BF03AD" w:rsidRDefault="00BC0022" w:rsidP="00BF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b/>
                <w:bCs/>
                <w:i/>
                <w:lang w:val="fr-FR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GB" w:eastAsia="en-GB"/>
              </w:rPr>
              <w:pict>
                <v:shape id="_x0000_s1101" type="#_x0000_t202" style="position:absolute;margin-left:1.7pt;margin-top:119.8pt;width:421.25pt;height:64.55pt;z-index:251656192" fillcolor="#f4b083" strokecolor="#f4b083" strokeweight="1pt">
                  <v:fill color2="#fbe4d5" angle="-45" focus="-50%" type="gradient"/>
                  <v:shadow on="t" type="perspective" color="#823b0b" opacity=".5" offset="1pt" offset2="-3pt"/>
                  <v:textbox style="mso-next-textbox:#_x0000_s1101">
                    <w:txbxContent>
                      <w:p w:rsidR="00BC0022" w:rsidRPr="009F7318" w:rsidRDefault="00BC0022" w:rsidP="00BC0022">
                        <w:pPr>
                          <w:spacing w:after="0" w:line="240" w:lineRule="auto"/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</w:pPr>
                        <w:r w:rsidRPr="009F7318"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  <w:t xml:space="preserve">Sursa datelor: </w:t>
                        </w:r>
                        <w:r w:rsidRPr="00BC0022"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  <w:t>European Core Health Indicators</w:t>
                        </w:r>
                      </w:p>
                      <w:p w:rsidR="000D3BD6" w:rsidRPr="00FF4864" w:rsidRDefault="000D3BD6" w:rsidP="00794BBE">
                        <w:pPr>
                          <w:spacing w:after="0" w:line="240" w:lineRule="auto"/>
                          <w:jc w:val="center"/>
                          <w:rPr>
                            <w:lang w:val="fr-FR"/>
                          </w:rPr>
                        </w:pPr>
                        <w:r w:rsidRPr="009D54C3">
                          <w:rPr>
                            <w:rFonts w:ascii="Times New Roman" w:eastAsia="ArialMT" w:hAnsi="Times New Roman"/>
                            <w:lang w:val="fr-FR"/>
                          </w:rPr>
                          <w:t>Rom</w:t>
                        </w:r>
                        <w:r w:rsidRPr="009D54C3">
                          <w:rPr>
                            <w:rFonts w:ascii="Times New Roman" w:eastAsia="ArialMT" w:hAnsi="Times New Roman"/>
                            <w:lang w:val="ro-RO"/>
                          </w:rPr>
                          <w:t>â</w:t>
                        </w:r>
                        <w:r w:rsidRPr="009D54C3">
                          <w:rPr>
                            <w:rFonts w:ascii="Times New Roman" w:eastAsia="ArialMT" w:hAnsi="Times New Roman"/>
                            <w:lang w:val="fr-FR"/>
                          </w:rPr>
                          <w:t>n</w:t>
                        </w:r>
                        <w:r>
                          <w:rPr>
                            <w:rFonts w:ascii="Times New Roman" w:eastAsia="ArialMT" w:hAnsi="Times New Roman"/>
                            <w:lang w:val="fr-FR"/>
                          </w:rPr>
                          <w:t>ia prezenta</w:t>
                        </w:r>
                        <w:r w:rsidRPr="009D54C3">
                          <w:rPr>
                            <w:rFonts w:ascii="Times New Roman" w:eastAsia="ArialMT" w:hAnsi="Times New Roman"/>
                            <w:lang w:val="fr-FR"/>
                          </w:rPr>
                          <w:t xml:space="preserve"> o rată a natalității apropiată cu media UE</w:t>
                        </w:r>
                        <w:r>
                          <w:rPr>
                            <w:rFonts w:ascii="Times New Roman" w:eastAsia="ArialMT" w:hAnsi="Times New Roman"/>
                            <w:lang w:val="fr-FR"/>
                          </w:rPr>
                          <w:t xml:space="preserve"> înregistrând în intervalul 2015-2019 valori constant mai ridicate (peste 10</w:t>
                        </w:r>
                        <w:r w:rsidRPr="00FF4864">
                          <w:rPr>
                            <w:rFonts w:ascii="Times New Roman" w:hAnsi="Times New Roman"/>
                            <w:lang w:val="fr-FR"/>
                          </w:rPr>
                          <w:t xml:space="preserve">‰), față de media </w:t>
                        </w:r>
                        <w:r w:rsidR="00075C62">
                          <w:rPr>
                            <w:rFonts w:ascii="Times New Roman" w:hAnsi="Times New Roman"/>
                            <w:lang w:val="fr-FR"/>
                          </w:rPr>
                          <w:t>UE</w:t>
                        </w:r>
                        <w:r w:rsidRPr="00FF4864">
                          <w:rPr>
                            <w:rFonts w:ascii="Times New Roman" w:hAnsi="Times New Roman"/>
                            <w:lang w:val="fr-FR"/>
                          </w:rPr>
                          <w:t xml:space="preserve"> care a cunoscut scădere constantă a indicatorului (de la 10,1‰ în 2016 la 9,5‰ în 2019). În 2020 România înregistra o rată a natalității de 9,2‰, pentru UE nefiind </w:t>
                        </w:r>
                        <w:r w:rsidR="00A77D9A" w:rsidRPr="00FF4864">
                          <w:rPr>
                            <w:rFonts w:ascii="Times New Roman" w:hAnsi="Times New Roman"/>
                            <w:lang w:val="fr-FR"/>
                          </w:rPr>
                          <w:t xml:space="preserve">date </w:t>
                        </w:r>
                        <w:r w:rsidRPr="00FF4864">
                          <w:rPr>
                            <w:rFonts w:ascii="Times New Roman" w:hAnsi="Times New Roman"/>
                            <w:lang w:val="fr-FR"/>
                          </w:rPr>
                          <w:t>disponibile</w:t>
                        </w:r>
                        <w:r w:rsidR="00A77D9A" w:rsidRPr="00FF4864">
                          <w:rPr>
                            <w:rFonts w:ascii="Times New Roman" w:hAnsi="Times New Roman"/>
                            <w:lang w:val="fr-FR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F13C6D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329313" cy="1593120"/>
                  <wp:effectExtent l="7106" t="3540" r="7106" b="3540"/>
                  <wp:docPr id="2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3C2B71">
              <w:rPr>
                <w:rFonts w:ascii="Times New Roman" w:hAnsi="Times New Roman"/>
                <w:noProof/>
              </w:rPr>
              <w:t xml:space="preserve">         </w:t>
            </w:r>
          </w:p>
          <w:p w:rsidR="00BF03AD" w:rsidRDefault="00BF03AD" w:rsidP="00BF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MT" w:hAnsi="Times New Roman"/>
                <w:b/>
                <w:bCs/>
                <w:i/>
                <w:lang w:val="fr-FR"/>
              </w:rPr>
            </w:pPr>
          </w:p>
          <w:p w:rsidR="00BF03AD" w:rsidRPr="0016238E" w:rsidRDefault="00410393" w:rsidP="00BF0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GB" w:eastAsia="en-GB"/>
              </w:rPr>
              <w:pict>
                <v:shape id="_x0000_s1115" type="#_x0000_t202" style="position:absolute;margin-left:826.75pt;margin-top:2.6pt;width:388.25pt;height:43.45pt;z-index:251660288" fillcolor="#f4b083" strokecolor="#f4b083" strokeweight="1pt">
                  <v:fill color2="#fbe4d5" angle="-45" focus="-50%" type="gradient"/>
                  <v:shadow on="t" type="perspective" color="#823b0b" opacity=".5" offset="1pt" offset2="-3pt"/>
                  <v:textbox style="mso-next-textbox:#_x0000_s1115">
                    <w:txbxContent>
                      <w:p w:rsidR="00BC0022" w:rsidRPr="00FF4864" w:rsidRDefault="00BC0022" w:rsidP="00BC0022">
                        <w:pPr>
                          <w:spacing w:after="0" w:line="240" w:lineRule="auto"/>
                          <w:rPr>
                            <w:rFonts w:ascii="Times New Roman" w:eastAsia="ArialMT" w:hAnsi="Times New Roman"/>
                            <w:sz w:val="12"/>
                            <w:szCs w:val="12"/>
                            <w:lang w:val="fr-FR"/>
                          </w:rPr>
                        </w:pPr>
                        <w:r w:rsidRPr="00FF4864">
                          <w:rPr>
                            <w:rFonts w:ascii="Times New Roman" w:eastAsia="ArialMT" w:hAnsi="Times New Roman"/>
                            <w:sz w:val="12"/>
                            <w:szCs w:val="12"/>
                            <w:lang w:val="fr-FR"/>
                          </w:rPr>
                          <w:t>Sursa datelor: Raportul Național al Stării de Sănătate al Populației, 2019</w:t>
                        </w:r>
                      </w:p>
                      <w:p w:rsidR="009A023A" w:rsidRPr="00FF4864" w:rsidRDefault="00A9590D" w:rsidP="00A9590D">
                        <w:pPr>
                          <w:spacing w:after="0" w:line="240" w:lineRule="auto"/>
                          <w:jc w:val="center"/>
                          <w:rPr>
                            <w:lang w:val="fr-FR"/>
                          </w:rPr>
                        </w:pPr>
                        <w:r w:rsidRPr="00FF4864">
                          <w:rPr>
                            <w:rFonts w:ascii="Times New Roman" w:hAnsi="Times New Roman"/>
                            <w:lang w:val="fr-FR"/>
                          </w:rPr>
                          <w:t>În profil teritorial, cea mai mică rată a natalității a fost în jud.Caraș‐Severin (6.5 născuți vii ‰ loc.) și cea mai mare în județul Ilfov (10,5 născuți vii ‰ locuitori).</w:t>
                        </w:r>
                      </w:p>
                    </w:txbxContent>
                  </v:textbox>
                </v:shape>
              </w:pict>
            </w:r>
          </w:p>
          <w:p w:rsidR="005063B7" w:rsidRPr="000F66B8" w:rsidRDefault="005063B7" w:rsidP="00162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6666"/>
                <w:sz w:val="24"/>
                <w:szCs w:val="24"/>
                <w:lang w:val="it-IT"/>
              </w:rPr>
            </w:pPr>
          </w:p>
          <w:p w:rsidR="005063B7" w:rsidRPr="004E2324" w:rsidRDefault="005063B7" w:rsidP="003E18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6666"/>
                <w:sz w:val="20"/>
                <w:szCs w:val="20"/>
                <w:lang w:val="it-IT"/>
              </w:rPr>
            </w:pPr>
          </w:p>
          <w:p w:rsidR="009017D8" w:rsidRPr="004E2324" w:rsidRDefault="003C2B71" w:rsidP="007E1D6B">
            <w:pPr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16"/>
                <w:szCs w:val="16"/>
                <w:lang w:val="fr-FR"/>
              </w:rPr>
            </w:pPr>
            <w:r>
              <w:rPr>
                <w:rFonts w:ascii="Times New Roman" w:eastAsia="ArialMT" w:hAnsi="Times New Roman"/>
                <w:b/>
                <w:sz w:val="28"/>
                <w:szCs w:val="28"/>
                <w:lang w:val="fr-FR"/>
              </w:rPr>
              <w:t xml:space="preserve"> </w:t>
            </w:r>
          </w:p>
          <w:p w:rsidR="00C06E59" w:rsidRDefault="00410393" w:rsidP="007E1D6B">
            <w:pPr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</w:pPr>
            <w:r w:rsidRPr="004E2324">
              <w:rPr>
                <w:rFonts w:ascii="Times New Roman" w:eastAsia="ArialMT" w:hAnsi="Times New Roman"/>
                <w:noProof/>
                <w:sz w:val="20"/>
                <w:szCs w:val="20"/>
              </w:rPr>
              <w:pict>
                <v:shape id="_x0000_s1082" type="#_x0000_t202" style="position:absolute;left:0;text-align:left;margin-left:830.1pt;margin-top:1.9pt;width:386.25pt;height:203.4pt;z-index:251653120" fillcolor="#9cc2e5" strokecolor="#9cc2e5" strokeweight="1pt">
                  <v:fill color2="#deeaf6" angle="-45" focus="-50%" type="gradient"/>
                  <v:shadow on="t" type="perspective" color="#1f4d78" opacity=".5" offset="1pt" offset2="-3pt"/>
                  <v:textbox style="mso-next-textbox:#_x0000_s1082">
                    <w:txbxContent>
                      <w:p w:rsidR="004D35B0" w:rsidRPr="007B26FE" w:rsidRDefault="004D35B0" w:rsidP="004D35B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ArialMT" w:hAnsi="Times New Roman"/>
                            <w:b/>
                            <w:sz w:val="24"/>
                            <w:szCs w:val="24"/>
                            <w:vertAlign w:val="superscript"/>
                            <w:lang w:val="fr-FR"/>
                          </w:rPr>
                        </w:pPr>
                        <w:r w:rsidRPr="00C37AC6">
                          <w:rPr>
                            <w:rFonts w:ascii="Times New Roman" w:eastAsia="ArialMT" w:hAnsi="Times New Roman"/>
                            <w:b/>
                            <w:color w:val="C00000"/>
                            <w:sz w:val="24"/>
                            <w:szCs w:val="24"/>
                            <w:lang w:val="fr-FR"/>
                          </w:rPr>
                          <w:t>Mortalitatea neonatală precoce (0‐6 zile)</w:t>
                        </w:r>
                        <w:r w:rsidRPr="007B26FE">
                          <w:rPr>
                            <w:rFonts w:ascii="Times New Roman" w:eastAsia="ArialMT" w:hAnsi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la 1000 născuți vii </w:t>
                        </w:r>
                        <w:r w:rsidRPr="00C37AC6">
                          <w:rPr>
                            <w:rFonts w:ascii="Times New Roman" w:eastAsia="ArialMT" w:hAnsi="Times New Roman"/>
                            <w:b/>
                            <w:color w:val="C00000"/>
                            <w:sz w:val="24"/>
                            <w:szCs w:val="24"/>
                            <w:lang w:val="fr-FR"/>
                          </w:rPr>
                          <w:t>pe gen</w:t>
                        </w:r>
                        <w:r w:rsidRPr="007B26FE">
                          <w:rPr>
                            <w:rFonts w:ascii="Times New Roman" w:eastAsia="ArialMT" w:hAnsi="Times New Roman"/>
                            <w:b/>
                            <w:sz w:val="24"/>
                            <w:szCs w:val="24"/>
                            <w:lang w:val="fr-FR"/>
                          </w:rPr>
                          <w:t xml:space="preserve"> în România, în anii 2010‐2019</w:t>
                        </w:r>
                      </w:p>
                      <w:p w:rsidR="007A638E" w:rsidRDefault="00F13C6D" w:rsidP="004D35B0">
                        <w:pPr>
                          <w:spacing w:after="0" w:line="240" w:lineRule="auto"/>
                          <w:jc w:val="center"/>
                          <w:rPr>
                            <w:rFonts w:ascii="Times New Roman" w:eastAsia="ArialMT" w:hAnsi="Times New Roman"/>
                          </w:rPr>
                        </w:pPr>
                        <w:r>
                          <w:rPr>
                            <w:rFonts w:ascii="Times New Roman" w:eastAsia="ArialMT" w:hAnsi="Times New Roman"/>
                            <w:noProof/>
                          </w:rPr>
                          <w:drawing>
                            <wp:inline distT="0" distB="0" distL="0" distR="0">
                              <wp:extent cx="4781550" cy="1524000"/>
                              <wp:effectExtent l="19050" t="0" r="0" b="0"/>
                              <wp:docPr id="6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81550" cy="1524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654F3" w:rsidRPr="00FF4864" w:rsidRDefault="004654F3" w:rsidP="004654F3">
                        <w:pPr>
                          <w:spacing w:after="0" w:line="240" w:lineRule="auto"/>
                          <w:rPr>
                            <w:rFonts w:ascii="Times New Roman" w:eastAsia="ArialMT" w:hAnsi="Times New Roman"/>
                            <w:sz w:val="12"/>
                            <w:szCs w:val="12"/>
                            <w:lang w:val="fr-FR"/>
                          </w:rPr>
                        </w:pPr>
                        <w:r w:rsidRPr="00FF4864">
                          <w:rPr>
                            <w:rFonts w:ascii="Times New Roman" w:eastAsia="ArialMT" w:hAnsi="Times New Roman"/>
                            <w:sz w:val="12"/>
                            <w:szCs w:val="12"/>
                            <w:lang w:val="fr-FR"/>
                          </w:rPr>
                          <w:t>Sursa datelor: Raportul Național al Stării de Sănătate al Populației, 2019</w:t>
                        </w:r>
                      </w:p>
                      <w:p w:rsidR="004D35B0" w:rsidRPr="00C37AC6" w:rsidRDefault="004D35B0" w:rsidP="004D35B0">
                        <w:pPr>
                          <w:spacing w:after="0" w:line="240" w:lineRule="auto"/>
                          <w:jc w:val="center"/>
                          <w:rPr>
                            <w:color w:val="C00000"/>
                            <w:lang w:val="fr-FR"/>
                          </w:rPr>
                        </w:pPr>
                        <w:r w:rsidRPr="00FF4864">
                          <w:rPr>
                            <w:rFonts w:ascii="Times New Roman" w:eastAsia="ArialMT" w:hAnsi="Times New Roman"/>
                            <w:bCs/>
                            <w:lang w:val="fr-FR"/>
                          </w:rPr>
                          <w:t xml:space="preserve">Repartiția pe gen evidențiază faptul că mortalitatea neonatală precoce (perinatală) (0‐6 zile) a urmat același trend descendent începând din 2010 până în 2019, </w:t>
                        </w:r>
                        <w:r w:rsidR="00C37AC6">
                          <w:rPr>
                            <w:rFonts w:ascii="Times New Roman" w:eastAsia="ArialMT" w:hAnsi="Times New Roman"/>
                            <w:bCs/>
                            <w:color w:val="C00000"/>
                            <w:lang w:val="fr-FR"/>
                          </w:rPr>
                          <w:t xml:space="preserve">valori mai mari </w:t>
                        </w:r>
                        <w:r w:rsidRPr="00C37AC6">
                          <w:rPr>
                            <w:rFonts w:ascii="Times New Roman" w:eastAsia="ArialMT" w:hAnsi="Times New Roman"/>
                            <w:bCs/>
                            <w:color w:val="C00000"/>
                            <w:lang w:val="fr-FR"/>
                          </w:rPr>
                          <w:t>fiind înregistrate la genul masculin.</w:t>
                        </w:r>
                      </w:p>
                    </w:txbxContent>
                  </v:textbox>
                </v:shape>
              </w:pict>
            </w:r>
            <w:r w:rsidR="00A11ED0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     </w:t>
            </w:r>
            <w:r w:rsidR="000D3BD6" w:rsidRPr="007E1D6B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Dinamica </w:t>
            </w:r>
            <w:r w:rsidR="000D3BD6" w:rsidRPr="00C01093">
              <w:rPr>
                <w:rFonts w:ascii="Times New Roman" w:eastAsia="ArialMT" w:hAnsi="Times New Roman"/>
                <w:b/>
                <w:color w:val="C00000"/>
                <w:sz w:val="24"/>
                <w:szCs w:val="24"/>
                <w:lang w:val="fr-FR"/>
              </w:rPr>
              <w:t>mortalității infantile</w:t>
            </w:r>
            <w:r w:rsidR="000D3BD6" w:rsidRPr="007E1D6B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C06E59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>la 1000 n</w:t>
            </w:r>
            <w:r w:rsidR="004E2324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>ă</w:t>
            </w:r>
            <w:r w:rsidR="00C06E59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>scu</w:t>
            </w:r>
            <w:r w:rsidR="004E2324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>ț</w:t>
            </w:r>
            <w:r w:rsidR="00C06E59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i vii </w:t>
            </w:r>
            <w:r w:rsidR="000D3BD6" w:rsidRPr="007E1D6B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>în România vs media UE</w:t>
            </w:r>
          </w:p>
          <w:p w:rsidR="000D3BD6" w:rsidRPr="007E1D6B" w:rsidRDefault="00C06E59" w:rsidP="007E1D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                                            </w:t>
            </w:r>
            <w:r w:rsidR="00A11ED0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0D3BD6" w:rsidRPr="007E1D6B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în intervalul 2010-2019</w:t>
            </w:r>
            <w:r w:rsidR="003C2B71" w:rsidRPr="007E1D6B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    </w:t>
            </w:r>
            <w:r w:rsidR="007E1D6B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       </w:t>
            </w:r>
            <w:r w:rsidR="00A77D9A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          </w:t>
            </w:r>
            <w:r w:rsidR="007E1D6B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 </w:t>
            </w:r>
          </w:p>
          <w:p w:rsidR="000D3BD6" w:rsidRPr="009D54C3" w:rsidRDefault="00BF6AA6" w:rsidP="007E1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lang w:val="fr-FR"/>
              </w:rPr>
            </w:pPr>
            <w:r>
              <w:rPr>
                <w:noProof/>
                <w:lang w:val="en-GB" w:eastAsia="en-GB"/>
              </w:rPr>
              <w:pict>
                <v:shape id="_x0000_s1111" type="#_x0000_t202" style="position:absolute;left:0;text-align:left;margin-left:435pt;margin-top:16.55pt;width:375.6pt;height:59.55pt;z-index:251659264" fillcolor="#9cc2e5" strokecolor="#9cc2e5" strokeweight="1pt">
                  <v:fill color2="#deeaf6" angle="-45" focus="-50%" type="gradient"/>
                  <v:shadow on="t" type="perspective" color="#1f4d78" opacity=".5" offset="1pt" offset2="-3pt"/>
                  <v:textbox style="mso-next-textbox:#_x0000_s1111">
                    <w:txbxContent>
                      <w:p w:rsidR="004654F3" w:rsidRPr="009F7318" w:rsidRDefault="004654F3" w:rsidP="004654F3">
                        <w:pPr>
                          <w:spacing w:after="0" w:line="240" w:lineRule="auto"/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</w:pPr>
                        <w:r w:rsidRPr="009F7318"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  <w:t xml:space="preserve">Sursa datelor: </w:t>
                        </w:r>
                        <w:r w:rsidRPr="004654F3"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  <w:t>Health for all explorer</w:t>
                        </w:r>
                      </w:p>
                      <w:p w:rsidR="001656DF" w:rsidRPr="002E62A9" w:rsidRDefault="001656DF" w:rsidP="00794BB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2E62A9"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  <w:t>Dinamica</w:t>
                        </w:r>
                        <w:r w:rsidR="000E2C59"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  <w:t xml:space="preserve"> valorilor indicatorului  în</w:t>
                        </w:r>
                        <w:r w:rsidRPr="002E62A9"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  <w:t xml:space="preserve"> intervalului 2006-2015 prez</w:t>
                        </w:r>
                        <w:r w:rsidR="000E2C59"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  <w:t>i</w:t>
                        </w:r>
                        <w:r w:rsidRPr="002E62A9">
                          <w:rPr>
                            <w:rFonts w:ascii="Times New Roman" w:hAnsi="Times New Roman"/>
                            <w:sz w:val="24"/>
                            <w:szCs w:val="24"/>
                            <w:lang w:val="ro-RO"/>
                          </w:rPr>
                          <w:t>nta fluctuații mari în tendința evoluției mortalității materne în România, cu valori semnificativ crescute față de media UE.</w:t>
                        </w:r>
                      </w:p>
                    </w:txbxContent>
                  </v:textbox>
                </v:shape>
              </w:pict>
            </w:r>
            <w:r w:rsidR="001D59BE" w:rsidRPr="009F7318">
              <w:rPr>
                <w:rFonts w:ascii="Times New Roman" w:eastAsia="ArialMT" w:hAnsi="Times New Roman"/>
                <w:noProof/>
              </w:rPr>
              <w:pict>
                <v:shape id="_x0000_s1077" type="#_x0000_t202" style="position:absolute;left:0;text-align:left;margin-left:432.75pt;margin-top:115.05pt;width:383.3pt;height:230.1pt;z-index:251652096">
                  <v:textbox>
                    <w:txbxContent>
                      <w:p w:rsidR="004609CC" w:rsidRPr="00FF4864" w:rsidRDefault="004609CC" w:rsidP="004609CC">
                        <w:pPr>
                          <w:spacing w:after="0" w:line="240" w:lineRule="auto"/>
                          <w:jc w:val="center"/>
                          <w:rPr>
                            <w:rFonts w:ascii="Times New Roman" w:eastAsia="ArialMT" w:hAnsi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F4864">
                          <w:rPr>
                            <w:rFonts w:ascii="Times New Roman" w:eastAsia="ArialMT" w:hAnsi="Times New Roman"/>
                            <w:b/>
                            <w:bCs/>
                            <w:sz w:val="24"/>
                            <w:szCs w:val="24"/>
                          </w:rPr>
                          <w:t xml:space="preserve">Dinamica privind </w:t>
                        </w:r>
                        <w:r w:rsidRPr="00E26EA8">
                          <w:rPr>
                            <w:rFonts w:ascii="Times New Roman" w:eastAsia="ArialMT" w:hAnsi="Times New Roman"/>
                            <w:b/>
                            <w:bCs/>
                            <w:color w:val="C00000"/>
                            <w:sz w:val="24"/>
                            <w:szCs w:val="24"/>
                          </w:rPr>
                          <w:t xml:space="preserve">procentul născuților vii cu o greutate sub 2500 </w:t>
                        </w:r>
                        <w:r w:rsidRPr="00E26EA8">
                          <w:rPr>
                            <w:rFonts w:ascii="Times New Roman" w:eastAsia="ArialMT" w:hAnsi="Times New Roman"/>
                            <w:b/>
                            <w:bCs/>
                            <w:sz w:val="24"/>
                            <w:szCs w:val="24"/>
                          </w:rPr>
                          <w:t>g</w:t>
                        </w:r>
                        <w:r w:rsidRPr="00FF4864">
                          <w:rPr>
                            <w:rFonts w:ascii="Times New Roman" w:eastAsia="ArialMT" w:hAnsi="Times New Roman"/>
                            <w:b/>
                            <w:bCs/>
                            <w:sz w:val="24"/>
                            <w:szCs w:val="24"/>
                          </w:rPr>
                          <w:t>r la 100 n</w:t>
                        </w:r>
                        <w:r w:rsidR="0071602D" w:rsidRPr="00FF4864">
                          <w:rPr>
                            <w:rFonts w:ascii="Times New Roman" w:eastAsia="ArialMT" w:hAnsi="Times New Roman"/>
                            <w:b/>
                            <w:bCs/>
                            <w:sz w:val="24"/>
                            <w:szCs w:val="24"/>
                          </w:rPr>
                          <w:t>ă</w:t>
                        </w:r>
                        <w:r w:rsidRPr="00FF4864">
                          <w:rPr>
                            <w:rFonts w:ascii="Times New Roman" w:eastAsia="ArialMT" w:hAnsi="Times New Roman"/>
                            <w:b/>
                            <w:bCs/>
                            <w:sz w:val="24"/>
                            <w:szCs w:val="24"/>
                          </w:rPr>
                          <w:t>scu</w:t>
                        </w:r>
                        <w:r w:rsidR="00506EA9" w:rsidRPr="00FF4864">
                          <w:rPr>
                            <w:rFonts w:ascii="Times New Roman" w:eastAsia="ArialMT" w:hAnsi="Times New Roman"/>
                            <w:b/>
                            <w:bCs/>
                            <w:sz w:val="24"/>
                            <w:szCs w:val="24"/>
                          </w:rPr>
                          <w:t>ț</w:t>
                        </w:r>
                        <w:r w:rsidRPr="00FF4864">
                          <w:rPr>
                            <w:rFonts w:ascii="Times New Roman" w:eastAsia="ArialMT" w:hAnsi="Times New Roman"/>
                            <w:b/>
                            <w:bCs/>
                            <w:sz w:val="24"/>
                            <w:szCs w:val="24"/>
                          </w:rPr>
                          <w:t>i vii  RO vs UE, 2006-2015</w:t>
                        </w:r>
                      </w:p>
                      <w:p w:rsidR="003A7337" w:rsidRDefault="00F13C6D" w:rsidP="003A7337">
                        <w:r>
                          <w:rPr>
                            <w:rFonts w:ascii="Times New Roman" w:eastAsia="ArialMT" w:hAnsi="Times New Roman"/>
                            <w:b/>
                            <w:bCs/>
                            <w:i/>
                            <w:noProof/>
                          </w:rPr>
                          <w:drawing>
                            <wp:inline distT="0" distB="0" distL="0" distR="0">
                              <wp:extent cx="4629150" cy="2447925"/>
                              <wp:effectExtent l="19050" t="0" r="0" b="0"/>
                              <wp:docPr id="7" name="Picture 7" descr="gGRAFIC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gGRAFIC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629150" cy="2447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C0022">
              <w:rPr>
                <w:rFonts w:ascii="Times New Roman" w:hAnsi="Times New Roman"/>
                <w:b/>
                <w:bCs/>
                <w:noProof/>
                <w:color w:val="006666"/>
                <w:sz w:val="32"/>
                <w:szCs w:val="32"/>
                <w:lang w:val="en-GB" w:eastAsia="en-GB"/>
              </w:rPr>
              <w:pict>
                <v:shape id="_x0000_s1100" type="#_x0000_t202" style="position:absolute;left:0;text-align:left;margin-left:0;margin-top:130.85pt;width:421.25pt;height:65.45pt;z-index:251655168" fillcolor="#f4b083" strokecolor="#f4b083" strokeweight="1pt">
                  <v:fill color2="#fbe4d5" angle="-45" focus="-50%" type="gradient"/>
                  <v:shadow on="t" type="perspective" color="#823b0b" opacity=".5" offset="1pt" offset2="-3pt"/>
                  <v:textbox style="mso-next-textbox:#_x0000_s1100">
                    <w:txbxContent>
                      <w:p w:rsidR="00BC0022" w:rsidRPr="009F7318" w:rsidRDefault="00BC0022" w:rsidP="00BC0022">
                        <w:pPr>
                          <w:spacing w:after="0" w:line="240" w:lineRule="auto"/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</w:pPr>
                        <w:r w:rsidRPr="009F7318"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  <w:t xml:space="preserve">Sursa datelor: </w:t>
                        </w:r>
                        <w:r w:rsidRPr="00BC0022"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  <w:t>European Core Health Indicators</w:t>
                        </w:r>
                      </w:p>
                      <w:p w:rsidR="000D3BD6" w:rsidRDefault="00A11ED0" w:rsidP="00794BBE">
                        <w:pPr>
                          <w:spacing w:after="0" w:line="240" w:lineRule="auto"/>
                          <w:jc w:val="center"/>
                        </w:pPr>
                        <w:bookmarkStart w:id="0" w:name="_Hlk80339657"/>
                        <w:bookmarkStart w:id="1" w:name="_Hlk80339658"/>
                        <w:r w:rsidRPr="00FF4864">
                          <w:rPr>
                            <w:rFonts w:ascii="Times New Roman" w:eastAsia="ArialMT" w:hAnsi="Times New Roman"/>
                          </w:rPr>
                          <w:t>În intervalul 2010-2019, tendința mortalității infantile în UE a prezentat valori relativ constante (4 ‰ în 2010, 3,7‰ în 2014, 3,6‰ în 2017) în timp ce în România indicatorul a cunoscut scădere graduală semnificativă, țara noastră înregistrând în 2018 cea mai substanțială reducere</w:t>
                        </w:r>
                        <w:r w:rsidR="00C01093">
                          <w:rPr>
                            <w:rFonts w:ascii="Times New Roman" w:eastAsia="ArialMT" w:hAnsi="Times New Roman"/>
                          </w:rPr>
                          <w:t xml:space="preserve"> cu valori de</w:t>
                        </w:r>
                        <w:r w:rsidRPr="00FF4864">
                          <w:rPr>
                            <w:rFonts w:ascii="Times New Roman" w:eastAsia="ArialMT" w:hAnsi="Times New Roman"/>
                          </w:rPr>
                          <w:t xml:space="preserve"> </w:t>
                        </w:r>
                        <w:r w:rsidR="00C01093">
                          <w:rPr>
                            <w:rFonts w:ascii="Times New Roman" w:eastAsia="ArialMT" w:hAnsi="Times New Roman"/>
                          </w:rPr>
                          <w:t xml:space="preserve"> </w:t>
                        </w:r>
                        <w:r w:rsidRPr="00FF4864">
                          <w:rPr>
                            <w:rFonts w:ascii="Times New Roman" w:eastAsia="ArialMT" w:hAnsi="Times New Roman"/>
                          </w:rPr>
                          <w:t>6‰ comparativ cu media UE 3,5‰.</w:t>
                        </w:r>
                        <w:bookmarkEnd w:id="0"/>
                        <w:bookmarkEnd w:id="1"/>
                      </w:p>
                    </w:txbxContent>
                  </v:textbox>
                </v:shape>
              </w:pict>
            </w:r>
            <w:r w:rsidR="00F13C6D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5367311" cy="1716397"/>
                  <wp:effectExtent l="7157" t="3814" r="7157" b="3814"/>
                  <wp:docPr id="9" name="Char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5063B7" w:rsidRDefault="005063B7" w:rsidP="007E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6666"/>
                <w:sz w:val="32"/>
                <w:szCs w:val="32"/>
                <w:lang w:val="it-IT"/>
              </w:rPr>
            </w:pPr>
          </w:p>
          <w:p w:rsidR="005063B7" w:rsidRDefault="005063B7" w:rsidP="007E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6666"/>
                <w:sz w:val="32"/>
                <w:szCs w:val="32"/>
                <w:lang w:val="it-IT"/>
              </w:rPr>
            </w:pPr>
          </w:p>
          <w:p w:rsidR="005063B7" w:rsidRDefault="00410393" w:rsidP="007E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6666"/>
                <w:sz w:val="32"/>
                <w:szCs w:val="32"/>
                <w:lang w:val="it-IT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GB" w:eastAsia="en-GB"/>
              </w:rPr>
              <w:pict>
                <v:shape id="_x0000_s1116" type="#_x0000_t202" style="position:absolute;margin-left:831.85pt;margin-top:9.25pt;width:380.5pt;height:156.9pt;z-index:251661312">
                  <v:textbox>
                    <w:txbxContent>
                      <w:p w:rsidR="00354F88" w:rsidRPr="00FF4864" w:rsidRDefault="00354F88" w:rsidP="00354F8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ArialMT" w:hAnsi="Times New Roman"/>
                            <w:b/>
                            <w:bCs/>
                            <w:sz w:val="24"/>
                            <w:szCs w:val="24"/>
                            <w:vertAlign w:val="superscript"/>
                            <w:lang w:val="fr-FR"/>
                          </w:rPr>
                        </w:pPr>
                        <w:r w:rsidRPr="00C37AC6">
                          <w:rPr>
                            <w:rFonts w:ascii="Times New Roman" w:eastAsia="ArialMT" w:hAnsi="Times New Roman"/>
                            <w:b/>
                            <w:bCs/>
                            <w:color w:val="C00000"/>
                            <w:sz w:val="24"/>
                            <w:szCs w:val="24"/>
                            <w:lang w:val="fr-FR"/>
                          </w:rPr>
                          <w:t>Mortalitate maternă prin complicații ale sarcinii, nașterii și lăuziei</w:t>
                        </w:r>
                        <w:r w:rsidRPr="00FF4864">
                          <w:rPr>
                            <w:rFonts w:ascii="Times New Roman" w:eastAsia="ArialMT" w:hAnsi="Times New Roman"/>
                            <w:b/>
                            <w:bCs/>
                            <w:sz w:val="24"/>
                            <w:szCs w:val="24"/>
                            <w:lang w:val="fr-FR"/>
                          </w:rPr>
                          <w:t xml:space="preserve"> în România, în perioada 2010‐2019</w:t>
                        </w:r>
                      </w:p>
                      <w:p w:rsidR="00354F88" w:rsidRDefault="00F13C6D" w:rsidP="00354F88">
                        <w:r>
                          <w:rPr>
                            <w:rFonts w:ascii="Times New Roman" w:eastAsia="ArialMT" w:hAnsi="Times New Roman"/>
                            <w:bCs/>
                            <w:noProof/>
                          </w:rPr>
                          <w:drawing>
                            <wp:inline distT="0" distB="0" distL="0" distR="0">
                              <wp:extent cx="4714875" cy="1628775"/>
                              <wp:effectExtent l="19050" t="0" r="9525" b="0"/>
                              <wp:docPr id="8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14875" cy="1628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5063B7" w:rsidRPr="000F66B8" w:rsidRDefault="005063B7" w:rsidP="007E1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6666"/>
                <w:sz w:val="20"/>
                <w:szCs w:val="20"/>
                <w:lang w:val="it-IT"/>
              </w:rPr>
            </w:pPr>
          </w:p>
          <w:p w:rsidR="004E2324" w:rsidRPr="00FF4864" w:rsidRDefault="00BC0893" w:rsidP="00BF0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</w:pPr>
            <w:r w:rsidRPr="00FF4864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     </w:t>
            </w:r>
            <w:r w:rsidR="00A7090B" w:rsidRPr="00FF4864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   </w:t>
            </w:r>
            <w:r w:rsidRPr="00FF4864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BF03AD" w:rsidRPr="00FF4864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Tendința </w:t>
            </w:r>
            <w:r w:rsidR="00BF03AD" w:rsidRPr="00C01093">
              <w:rPr>
                <w:rFonts w:ascii="Times New Roman" w:eastAsia="ArialMT" w:hAnsi="Times New Roman"/>
                <w:b/>
                <w:color w:val="C00000"/>
                <w:sz w:val="24"/>
                <w:szCs w:val="24"/>
                <w:lang w:val="fr-FR"/>
              </w:rPr>
              <w:t>mortalității (</w:t>
            </w:r>
            <w:r w:rsidR="00A7090B" w:rsidRPr="00C01093">
              <w:rPr>
                <w:rFonts w:ascii="Times New Roman" w:eastAsia="ArialMT" w:hAnsi="Times New Roman"/>
                <w:b/>
                <w:color w:val="C00000"/>
                <w:sz w:val="24"/>
                <w:szCs w:val="24"/>
                <w:lang w:val="fr-FR"/>
              </w:rPr>
              <w:t>1</w:t>
            </w:r>
            <w:r w:rsidR="00BF03AD" w:rsidRPr="00C01093">
              <w:rPr>
                <w:rFonts w:ascii="Times New Roman" w:eastAsia="ArialMT" w:hAnsi="Times New Roman"/>
                <w:b/>
                <w:color w:val="C00000"/>
                <w:sz w:val="24"/>
                <w:szCs w:val="24"/>
                <w:lang w:val="fr-FR"/>
              </w:rPr>
              <w:t>-6 zile)</w:t>
            </w:r>
            <w:r w:rsidR="00BF03AD" w:rsidRPr="00FF4864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</w:t>
            </w:r>
            <w:r w:rsidR="004E2324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la 1000 născuți vii </w:t>
            </w:r>
            <w:r w:rsidR="004E2324" w:rsidRPr="007E1D6B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în </w:t>
            </w:r>
            <w:r w:rsidR="00BF03AD" w:rsidRPr="00FF4864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RO vs UE </w:t>
            </w:r>
          </w:p>
          <w:p w:rsidR="00BF03AD" w:rsidRPr="007C19C4" w:rsidRDefault="004E2324" w:rsidP="00BF0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b/>
                <w:sz w:val="24"/>
                <w:szCs w:val="24"/>
                <w:vertAlign w:val="superscript"/>
              </w:rPr>
            </w:pPr>
            <w:r w:rsidRPr="00FF4864">
              <w:rPr>
                <w:rFonts w:ascii="Times New Roman" w:eastAsia="ArialMT" w:hAnsi="Times New Roman"/>
                <w:b/>
                <w:sz w:val="24"/>
                <w:szCs w:val="24"/>
                <w:lang w:val="fr-FR"/>
              </w:rPr>
              <w:t xml:space="preserve">                                        </w:t>
            </w:r>
            <w:r w:rsidR="00BF03AD" w:rsidRPr="007E1D6B">
              <w:rPr>
                <w:rFonts w:ascii="Times New Roman" w:eastAsia="ArialMT" w:hAnsi="Times New Roman"/>
                <w:b/>
                <w:sz w:val="24"/>
                <w:szCs w:val="24"/>
              </w:rPr>
              <w:t>între anii 2011-2018</w:t>
            </w:r>
          </w:p>
          <w:p w:rsidR="00BF03AD" w:rsidRPr="009D54C3" w:rsidRDefault="002E62A9" w:rsidP="00BF0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MT" w:hAnsi="Times New Roman"/>
                <w:color w:val="FF0000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GB" w:eastAsia="en-GB"/>
              </w:rPr>
              <w:pict>
                <v:shape id="_x0000_s1119" type="#_x0000_t202" style="position:absolute;left:0;text-align:left;margin-left:427.75pt;margin-top:119.8pt;width:394.3pt;height:75.85pt;z-index:251663360" fillcolor="#f4b083" strokecolor="#f4b083" strokeweight="1pt">
                  <v:fill color2="#fbe4d5" angle="-45" focus="-50%" type="gradient"/>
                  <v:shadow on="t" type="perspective" color="#823b0b" opacity=".5" offset="1pt" offset2="-3pt"/>
                  <v:textbox style="mso-next-textbox:#_x0000_s1119">
                    <w:txbxContent>
                      <w:p w:rsidR="004654F3" w:rsidRPr="009F7318" w:rsidRDefault="004654F3" w:rsidP="004654F3">
                        <w:pPr>
                          <w:spacing w:after="0" w:line="240" w:lineRule="auto"/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</w:pPr>
                        <w:r w:rsidRPr="009F7318"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  <w:t xml:space="preserve">Sursa datelor: </w:t>
                        </w:r>
                        <w:r w:rsidRPr="00BC0022"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  <w:t>European Core Health Indicators</w:t>
                        </w:r>
                      </w:p>
                      <w:p w:rsidR="0084505F" w:rsidRPr="002E62A9" w:rsidRDefault="002E62A9" w:rsidP="002E62A9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F4864">
                          <w:rPr>
                            <w:rFonts w:ascii="Times New Roman" w:eastAsia="ArialMT" w:hAnsi="Times New Roman"/>
                            <w:sz w:val="24"/>
                            <w:szCs w:val="24"/>
                          </w:rPr>
                          <w:t xml:space="preserve">Dinamica privind procentul născuților vii cu greutate mai mică de 2500 g a prezentat în intervalul 2006-2015 atât în România cât și în UE o evoluție constantă, media înregistrată în țara noastră fiind ceva mai ridicată dacât cea din </w:t>
                        </w:r>
                        <w:r w:rsidR="00E26EA8">
                          <w:rPr>
                            <w:rFonts w:ascii="Times New Roman" w:eastAsia="ArialMT" w:hAnsi="Times New Roman"/>
                            <w:sz w:val="24"/>
                            <w:szCs w:val="24"/>
                          </w:rPr>
                          <w:t>UE</w:t>
                        </w:r>
                      </w:p>
                    </w:txbxContent>
                  </v:textbox>
                </v:shape>
              </w:pict>
            </w:r>
            <w:r w:rsidR="009017D8"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GB" w:eastAsia="en-GB"/>
              </w:rPr>
              <w:pict>
                <v:shape id="_x0000_s1117" type="#_x0000_t202" style="position:absolute;left:0;text-align:left;margin-left:830.9pt;margin-top:113.7pt;width:383.15pt;height:81.95pt;z-index:251662336" fillcolor="#f4b083" strokecolor="#f4b083" strokeweight="1pt">
                  <v:fill color2="#fbe4d5" angle="-45" focus="-50%" type="gradient"/>
                  <v:shadow on="t" type="perspective" color="#823b0b" opacity=".5" offset="1pt" offset2="-3pt"/>
                  <v:textbox style="mso-next-textbox:#_x0000_s1117">
                    <w:txbxContent>
                      <w:p w:rsidR="004654F3" w:rsidRPr="00FF4864" w:rsidRDefault="004654F3" w:rsidP="004654F3">
                        <w:pPr>
                          <w:spacing w:after="0" w:line="240" w:lineRule="auto"/>
                          <w:rPr>
                            <w:rFonts w:ascii="Times New Roman" w:eastAsia="ArialMT" w:hAnsi="Times New Roman"/>
                            <w:sz w:val="12"/>
                            <w:szCs w:val="12"/>
                            <w:lang w:val="fr-FR"/>
                          </w:rPr>
                        </w:pPr>
                        <w:r w:rsidRPr="00FF4864">
                          <w:rPr>
                            <w:rFonts w:ascii="Times New Roman" w:eastAsia="ArialMT" w:hAnsi="Times New Roman"/>
                            <w:sz w:val="12"/>
                            <w:szCs w:val="12"/>
                            <w:lang w:val="fr-FR"/>
                          </w:rPr>
                          <w:t>Sursa datelor: Raportul Național al Stării de Sănătate al Populației, 2019</w:t>
                        </w:r>
                      </w:p>
                      <w:p w:rsidR="00354F88" w:rsidRPr="00FF4864" w:rsidRDefault="00354F88" w:rsidP="00824FFC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lang w:val="fr-FR"/>
                          </w:rPr>
                        </w:pPr>
                        <w:r w:rsidRPr="003677D8">
                          <w:rPr>
                            <w:rFonts w:ascii="Times New Roman" w:eastAsia="ArialMT" w:hAnsi="Times New Roman"/>
                            <w:bCs/>
                            <w:lang w:val="fr-FR"/>
                          </w:rPr>
                          <w:t>Rata mortalităţii materne în anul 2019 a fost de 0,11 la 1 000 născuţi vii, mai mică decât cea din 2010, care a avut valoarea de 0,24‰ născuţi vii. Valori crescute în intervalul 2010‐2019 au fost înregistrate în anul 2010 (0,24‰ născuţi vii) și în 2011 (</w:t>
                        </w:r>
                        <w:r>
                          <w:rPr>
                            <w:rFonts w:ascii="Times New Roman" w:eastAsia="ArialMT" w:hAnsi="Times New Roman"/>
                            <w:bCs/>
                            <w:lang w:val="fr-FR"/>
                          </w:rPr>
                          <w:t>0,25‰ născuţi vii), prezentând</w:t>
                        </w:r>
                        <w:r w:rsidRPr="003677D8">
                          <w:rPr>
                            <w:rFonts w:ascii="Times New Roman" w:eastAsia="ArialMT" w:hAnsi="Times New Roman"/>
                            <w:bCs/>
                            <w:lang w:val="fr-FR"/>
                          </w:rPr>
                          <w:t xml:space="preserve"> valori diferite pe cele două componente: risc obstetrical</w:t>
                        </w:r>
                        <w:r>
                          <w:rPr>
                            <w:rFonts w:ascii="Times New Roman" w:eastAsia="ArialMT" w:hAnsi="Times New Roman"/>
                            <w:bCs/>
                            <w:lang w:val="fr-FR"/>
                          </w:rPr>
                          <w:t>‐cauze directe şi avort.</w:t>
                        </w:r>
                      </w:p>
                    </w:txbxContent>
                  </v:textbox>
                </v:shape>
              </w:pict>
            </w:r>
            <w:r w:rsidR="00F13C6D">
              <w:rPr>
                <w:rFonts w:ascii="Times New Roman" w:eastAsia="ArialMT" w:hAnsi="Times New Roman"/>
                <w:noProof/>
                <w:color w:val="FF0000"/>
              </w:rPr>
              <w:drawing>
                <wp:inline distT="0" distB="0" distL="0" distR="0">
                  <wp:extent cx="5260975" cy="1614170"/>
                  <wp:effectExtent l="19050" t="0" r="0" b="0"/>
                  <wp:docPr id="78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0975" cy="1614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03AD" w:rsidRPr="009D54C3" w:rsidRDefault="00B8076C" w:rsidP="00C06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/>
                <w:lang w:val="fr-FR"/>
              </w:rPr>
            </w:pPr>
            <w:r>
              <w:rPr>
                <w:rFonts w:ascii="Times New Roman" w:hAnsi="Times New Roman"/>
                <w:b/>
                <w:bCs/>
                <w:noProof/>
                <w:sz w:val="32"/>
                <w:szCs w:val="32"/>
                <w:lang w:val="en-GB" w:eastAsia="en-GB"/>
              </w:rPr>
              <w:pict>
                <v:shape id="_x0000_s1103" type="#_x0000_t202" style="position:absolute;left:0;text-align:left;margin-left:0;margin-top:2.1pt;width:411.2pt;height:66.4pt;z-index:251657216" fillcolor="#f4b083" strokecolor="#f4b083" strokeweight="1pt">
                  <v:fill color2="#fbe4d5" angle="-45" focus="-50%" type="gradient"/>
                  <v:shadow on="t" type="perspective" color="#823b0b" opacity=".5" offset="1pt" offset2="-3pt"/>
                  <v:textbox>
                    <w:txbxContent>
                      <w:p w:rsidR="009F7318" w:rsidRPr="009F7318" w:rsidRDefault="009F7318" w:rsidP="009F7318">
                        <w:pPr>
                          <w:spacing w:after="0" w:line="240" w:lineRule="auto"/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</w:pPr>
                        <w:r w:rsidRPr="009F7318">
                          <w:rPr>
                            <w:rFonts w:ascii="Times New Roman" w:eastAsia="ArialMT" w:hAnsi="Times New Roman"/>
                            <w:sz w:val="12"/>
                            <w:szCs w:val="12"/>
                          </w:rPr>
                          <w:t>Sursa datelor: Eurostat</w:t>
                        </w:r>
                      </w:p>
                      <w:p w:rsidR="00BF03AD" w:rsidRDefault="00BC73DB" w:rsidP="000F66B8">
                        <w:pPr>
                          <w:spacing w:after="0" w:line="240" w:lineRule="auto"/>
                          <w:jc w:val="center"/>
                        </w:pPr>
                        <w:r w:rsidRPr="009D54C3">
                          <w:rPr>
                            <w:rFonts w:ascii="Times New Roman" w:eastAsia="ArialMT" w:hAnsi="Times New Roman"/>
                          </w:rPr>
                          <w:t xml:space="preserve">În privința mortalității </w:t>
                        </w:r>
                        <w:r>
                          <w:rPr>
                            <w:rFonts w:ascii="Times New Roman" w:eastAsia="ArialMT" w:hAnsi="Times New Roman"/>
                          </w:rPr>
                          <w:t>(</w:t>
                        </w:r>
                        <w:r w:rsidR="009F7318">
                          <w:rPr>
                            <w:rFonts w:ascii="Times New Roman" w:eastAsia="ArialMT" w:hAnsi="Times New Roman"/>
                          </w:rPr>
                          <w:t>1</w:t>
                        </w:r>
                        <w:r w:rsidRPr="009D54C3">
                          <w:rPr>
                            <w:rFonts w:ascii="Times New Roman" w:eastAsia="ArialMT" w:hAnsi="Times New Roman"/>
                          </w:rPr>
                          <w:t>-</w:t>
                        </w:r>
                        <w:r w:rsidR="009F7318">
                          <w:rPr>
                            <w:rFonts w:ascii="Times New Roman" w:eastAsia="ArialMT" w:hAnsi="Times New Roman"/>
                          </w:rPr>
                          <w:t xml:space="preserve"> </w:t>
                        </w:r>
                        <w:r w:rsidRPr="009D54C3">
                          <w:rPr>
                            <w:rFonts w:ascii="Times New Roman" w:eastAsia="ArialMT" w:hAnsi="Times New Roman"/>
                          </w:rPr>
                          <w:t>6 zile</w:t>
                        </w:r>
                        <w:r w:rsidR="009F7318">
                          <w:rPr>
                            <w:rFonts w:ascii="Times New Roman" w:eastAsia="ArialMT" w:hAnsi="Times New Roman"/>
                          </w:rPr>
                          <w:t>)</w:t>
                        </w:r>
                        <w:r w:rsidRPr="009D54C3">
                          <w:rPr>
                            <w:rFonts w:ascii="Times New Roman" w:eastAsia="ArialMT" w:hAnsi="Times New Roman"/>
                          </w:rPr>
                          <w:t xml:space="preserve"> aceasta a cunoscut în intervalul 2011-2018 o serie de fluctuații, prezentând în România </w:t>
                        </w:r>
                        <w:r w:rsidR="00C01093">
                          <w:rPr>
                            <w:rFonts w:ascii="Times New Roman" w:eastAsia="ArialMT" w:hAnsi="Times New Roman"/>
                          </w:rPr>
                          <w:t xml:space="preserve">în </w:t>
                        </w:r>
                        <w:r>
                          <w:rPr>
                            <w:rFonts w:ascii="Times New Roman" w:eastAsia="ArialMT" w:hAnsi="Times New Roman"/>
                          </w:rPr>
                          <w:t xml:space="preserve">2013 </w:t>
                        </w:r>
                        <w:r w:rsidRPr="009D54C3">
                          <w:rPr>
                            <w:rFonts w:ascii="Times New Roman" w:eastAsia="ArialMT" w:hAnsi="Times New Roman"/>
                          </w:rPr>
                          <w:t>creștere semnificativă</w:t>
                        </w:r>
                        <w:r>
                          <w:rPr>
                            <w:rFonts w:ascii="Times New Roman" w:eastAsia="ArialMT" w:hAnsi="Times New Roman"/>
                          </w:rPr>
                          <w:t xml:space="preserve"> (30,64</w:t>
                        </w:r>
                        <w:r w:rsidRPr="009D54C3">
                          <w:rPr>
                            <w:rFonts w:ascii="Times New Roman" w:hAnsi="Times New Roman"/>
                          </w:rPr>
                          <w:t>‰</w:t>
                        </w:r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  <w:r w:rsidRPr="009D54C3">
                          <w:rPr>
                            <w:rFonts w:ascii="Times New Roman" w:eastAsia="ArialMT" w:hAnsi="Times New Roman"/>
                          </w:rPr>
                          <w:t xml:space="preserve"> față de media UE</w:t>
                        </w:r>
                        <w:r>
                          <w:rPr>
                            <w:rFonts w:ascii="Times New Roman" w:eastAsia="ArialMT" w:hAnsi="Times New Roman"/>
                          </w:rPr>
                          <w:t xml:space="preserve"> (22,79</w:t>
                        </w:r>
                        <w:r w:rsidRPr="009D54C3">
                          <w:rPr>
                            <w:rFonts w:ascii="Times New Roman" w:hAnsi="Times New Roman"/>
                          </w:rPr>
                          <w:t>‰</w:t>
                        </w:r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  <w:r>
                          <w:rPr>
                            <w:rFonts w:ascii="Times New Roman" w:eastAsia="ArialMT" w:hAnsi="Times New Roman"/>
                          </w:rPr>
                          <w:t xml:space="preserve">, diferența reducându-se semnificativ în 2016 când România a prezentat </w:t>
                        </w:r>
                        <w:r w:rsidR="000E2C59">
                          <w:rPr>
                            <w:rFonts w:ascii="Times New Roman" w:eastAsia="ArialMT" w:hAnsi="Times New Roman"/>
                          </w:rPr>
                          <w:t xml:space="preserve">valori </w:t>
                        </w:r>
                        <w:r>
                          <w:rPr>
                            <w:rFonts w:ascii="Times New Roman" w:eastAsia="ArialMT" w:hAnsi="Times New Roman"/>
                          </w:rPr>
                          <w:t>considerabil mai scăzut</w:t>
                        </w:r>
                        <w:r w:rsidR="000E2C59">
                          <w:rPr>
                            <w:rFonts w:ascii="Times New Roman" w:eastAsia="ArialMT" w:hAnsi="Times New Roman"/>
                          </w:rPr>
                          <w:t>e</w:t>
                        </w:r>
                        <w:r>
                          <w:rPr>
                            <w:rFonts w:ascii="Times New Roman" w:eastAsia="ArialMT" w:hAnsi="Times New Roman"/>
                          </w:rPr>
                          <w:t xml:space="preserve"> (24,66</w:t>
                        </w:r>
                        <w:r w:rsidRPr="009D54C3">
                          <w:rPr>
                            <w:rFonts w:ascii="Times New Roman" w:hAnsi="Times New Roman"/>
                          </w:rPr>
                          <w:t>‰</w:t>
                        </w:r>
                        <w:r>
                          <w:rPr>
                            <w:rFonts w:ascii="Times New Roman" w:hAnsi="Times New Roman"/>
                          </w:rPr>
                          <w:t>) comparativ cu media UE. (21,58</w:t>
                        </w:r>
                        <w:r w:rsidRPr="009D54C3">
                          <w:rPr>
                            <w:rFonts w:ascii="Times New Roman" w:hAnsi="Times New Roman"/>
                          </w:rPr>
                          <w:t>‰</w:t>
                        </w:r>
                        <w:r>
                          <w:rPr>
                            <w:rFonts w:ascii="Times New Roman" w:hAnsi="Times New Roman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BF03AD" w:rsidRPr="009D54C3">
              <w:rPr>
                <w:rFonts w:ascii="Times New Roman" w:eastAsia="ArialMT" w:hAnsi="Times New Roman"/>
                <w:lang w:val="fr-FR"/>
              </w:rPr>
              <w:t>.</w:t>
            </w:r>
          </w:p>
          <w:p w:rsidR="00E52BE6" w:rsidRDefault="00E52BE6" w:rsidP="00E52B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6666"/>
                <w:sz w:val="32"/>
                <w:szCs w:val="32"/>
                <w:lang w:val="it-IT"/>
              </w:rPr>
            </w:pPr>
          </w:p>
          <w:p w:rsidR="00A77D9A" w:rsidRDefault="00A77D9A" w:rsidP="00A77D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BBBB8"/>
                <w:sz w:val="20"/>
                <w:szCs w:val="20"/>
                <w:lang w:val="it-IT"/>
              </w:rPr>
            </w:pPr>
          </w:p>
          <w:p w:rsidR="000F66B8" w:rsidRDefault="000F66B8" w:rsidP="00A77D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BBBB8"/>
                <w:sz w:val="16"/>
                <w:szCs w:val="16"/>
                <w:lang w:val="it-IT"/>
              </w:rPr>
            </w:pPr>
          </w:p>
          <w:p w:rsidR="000F66B8" w:rsidRDefault="000F66B8" w:rsidP="00A77D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BBBB8"/>
                <w:sz w:val="16"/>
                <w:szCs w:val="16"/>
                <w:lang w:val="it-IT"/>
              </w:rPr>
            </w:pPr>
          </w:p>
          <w:p w:rsidR="009017D8" w:rsidRPr="000F66B8" w:rsidRDefault="009017D8" w:rsidP="00A77D9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2BBBB8"/>
                <w:sz w:val="16"/>
                <w:szCs w:val="16"/>
                <w:lang w:val="it-IT"/>
              </w:rPr>
            </w:pPr>
          </w:p>
        </w:tc>
      </w:tr>
      <w:tr w:rsidR="006D0A7C" w:rsidRPr="00D56CFB" w:rsidTr="00EC141F">
        <w:trPr>
          <w:trHeight w:val="1106"/>
        </w:trPr>
        <w:tc>
          <w:tcPr>
            <w:tcW w:w="12060" w:type="dxa"/>
            <w:shd w:val="clear" w:color="auto" w:fill="auto"/>
          </w:tcPr>
          <w:p w:rsidR="006D0A7C" w:rsidRPr="00D56CFB" w:rsidRDefault="006D0A7C" w:rsidP="00EC1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6CFB">
              <w:rPr>
                <w:rFonts w:ascii="Arial Black" w:hAnsi="Arial Black"/>
                <w:color w:val="0066CC"/>
                <w:spacing w:val="40"/>
              </w:rPr>
              <w:t xml:space="preserve">  </w:t>
            </w:r>
            <w:r w:rsidR="00041F78">
              <w:rPr>
                <w:rFonts w:ascii="Arial Black" w:hAnsi="Arial Black"/>
                <w:color w:val="0066CC"/>
                <w:spacing w:val="40"/>
              </w:rPr>
              <w:t xml:space="preserve">     </w:t>
            </w:r>
            <w:r w:rsidR="00F13C6D">
              <w:rPr>
                <w:rFonts w:ascii="Arial Black" w:hAnsi="Arial Black"/>
                <w:noProof/>
                <w:color w:val="0066CC"/>
                <w:spacing w:val="40"/>
              </w:rPr>
              <w:drawing>
                <wp:inline distT="0" distB="0" distL="0" distR="0">
                  <wp:extent cx="514350" cy="466725"/>
                  <wp:effectExtent l="19050" t="0" r="0" b="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CFB">
              <w:rPr>
                <w:rFonts w:ascii="Arial Black" w:hAnsi="Arial Black"/>
                <w:color w:val="0066CC"/>
                <w:spacing w:val="40"/>
              </w:rPr>
              <w:t xml:space="preserve">        </w:t>
            </w:r>
            <w:r w:rsidR="00203059">
              <w:rPr>
                <w:rFonts w:ascii="Arial Black" w:hAnsi="Arial Black"/>
                <w:color w:val="0066CC"/>
                <w:spacing w:val="40"/>
              </w:rPr>
              <w:t xml:space="preserve">     </w:t>
            </w:r>
            <w:r w:rsidRPr="00D56CFB">
              <w:rPr>
                <w:rFonts w:ascii="Arial Black" w:hAnsi="Arial Black"/>
                <w:color w:val="0066CC"/>
                <w:spacing w:val="40"/>
              </w:rPr>
              <w:t xml:space="preserve"> </w:t>
            </w:r>
            <w:r w:rsidR="00F13C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04825" cy="428625"/>
                  <wp:effectExtent l="19050" t="0" r="9525" b="0"/>
                  <wp:docPr id="11" name="Picture 1" descr="C:\Users\tudor\AppData\Local\Microsoft\Windows\Temporary Internet Files\Content.Outlook\QDBSMBB8\SIGLA_GUVERNULUI_ROMÂNIEI-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udor\AppData\Local\Microsoft\Windows\Temporary Internet Files\Content.Outlook\QDBSMBB8\SIGLA_GUVERNULUI_ROMÂNIEI-PN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CFB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EC141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56CFB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6D0A7C">
              <w:rPr>
                <w:b/>
                <w:color w:val="C00000"/>
              </w:rPr>
              <w:t xml:space="preserve"> </w:t>
            </w:r>
            <w:r w:rsidR="00F13C6D">
              <w:rPr>
                <w:noProof/>
              </w:rPr>
              <w:drawing>
                <wp:inline distT="0" distB="0" distL="0" distR="0">
                  <wp:extent cx="962025" cy="238125"/>
                  <wp:effectExtent l="19050" t="0" r="9525" b="0"/>
                  <wp:docPr id="12" name="Picture 1" descr="cid:image001.png@01D79366.9D6BBD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79366.9D6BBD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74812">
              <w:rPr>
                <w:b/>
                <w:color w:val="0070C0"/>
              </w:rPr>
              <w:t xml:space="preserve">                           </w:t>
            </w:r>
            <w:r w:rsidR="00F13C6D">
              <w:rPr>
                <w:noProof/>
                <w:sz w:val="12"/>
                <w:szCs w:val="12"/>
              </w:rPr>
              <w:drawing>
                <wp:inline distT="0" distB="0" distL="0" distR="0">
                  <wp:extent cx="590550" cy="314325"/>
                  <wp:effectExtent l="1905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0A7C" w:rsidRPr="00EC141F" w:rsidRDefault="00041F78" w:rsidP="00EC141F">
            <w:pPr>
              <w:spacing w:after="0" w:line="240" w:lineRule="auto"/>
              <w:rPr>
                <w:rFonts w:ascii="Arial Narrow" w:hAnsi="Arial Narrow"/>
                <w:b/>
                <w:sz w:val="12"/>
                <w:szCs w:val="12"/>
              </w:rPr>
            </w:pPr>
            <w:r w:rsidRPr="00EC141F">
              <w:rPr>
                <w:rFonts w:ascii="Arial Narrow" w:hAnsi="Arial Narrow"/>
                <w:b/>
                <w:sz w:val="12"/>
                <w:szCs w:val="12"/>
              </w:rPr>
              <w:t xml:space="preserve">      </w:t>
            </w:r>
            <w:r w:rsidR="00EC141F">
              <w:rPr>
                <w:rFonts w:ascii="Arial Narrow" w:hAnsi="Arial Narrow"/>
                <w:b/>
                <w:sz w:val="12"/>
                <w:szCs w:val="12"/>
              </w:rPr>
              <w:t xml:space="preserve">      </w:t>
            </w:r>
            <w:r w:rsidRPr="00EC141F">
              <w:rPr>
                <w:rFonts w:ascii="Arial Narrow" w:hAnsi="Arial Narrow"/>
                <w:b/>
                <w:sz w:val="12"/>
                <w:szCs w:val="12"/>
              </w:rPr>
              <w:t xml:space="preserve">       </w:t>
            </w:r>
            <w:r w:rsidR="006D0A7C" w:rsidRPr="00EC141F">
              <w:rPr>
                <w:rFonts w:ascii="Arial Narrow" w:hAnsi="Arial Narrow"/>
                <w:b/>
                <w:sz w:val="12"/>
                <w:szCs w:val="12"/>
              </w:rPr>
              <w:t xml:space="preserve">INSTITUTUL NAȚIONAL         </w:t>
            </w:r>
            <w:r w:rsidR="00203059" w:rsidRPr="00EC141F">
              <w:rPr>
                <w:rFonts w:ascii="Arial Narrow" w:hAnsi="Arial Narrow"/>
                <w:b/>
                <w:sz w:val="12"/>
                <w:szCs w:val="12"/>
              </w:rPr>
              <w:t xml:space="preserve">          </w:t>
            </w:r>
            <w:r w:rsidR="00EC141F">
              <w:rPr>
                <w:rFonts w:ascii="Arial Narrow" w:hAnsi="Arial Narrow"/>
                <w:b/>
                <w:sz w:val="12"/>
                <w:szCs w:val="12"/>
              </w:rPr>
              <w:t xml:space="preserve">                             </w:t>
            </w:r>
            <w:r w:rsidR="006D0A7C" w:rsidRPr="00EC141F">
              <w:rPr>
                <w:rFonts w:ascii="Arial Narrow" w:hAnsi="Arial Narrow"/>
                <w:b/>
                <w:sz w:val="12"/>
                <w:szCs w:val="12"/>
              </w:rPr>
              <w:t xml:space="preserve">  MINISTERUL  SĂNĂTĂȚII</w:t>
            </w:r>
            <w:r w:rsidR="000525F7" w:rsidRPr="00EC141F">
              <w:rPr>
                <w:b/>
                <w:color w:val="C00000"/>
                <w:sz w:val="12"/>
                <w:szCs w:val="12"/>
              </w:rPr>
              <w:t xml:space="preserve">       </w:t>
            </w:r>
            <w:r w:rsidR="00EC141F">
              <w:rPr>
                <w:b/>
                <w:color w:val="C00000"/>
                <w:sz w:val="12"/>
                <w:szCs w:val="12"/>
              </w:rPr>
              <w:t xml:space="preserve">                        </w:t>
            </w:r>
            <w:r w:rsidR="00B74812" w:rsidRPr="00EC141F">
              <w:rPr>
                <w:b/>
                <w:color w:val="C00000"/>
                <w:sz w:val="12"/>
                <w:szCs w:val="12"/>
              </w:rPr>
              <w:t xml:space="preserve"> </w:t>
            </w:r>
            <w:r w:rsidR="000525F7" w:rsidRPr="00EC141F">
              <w:rPr>
                <w:b/>
                <w:color w:val="C00000"/>
                <w:sz w:val="12"/>
                <w:szCs w:val="12"/>
              </w:rPr>
              <w:t xml:space="preserve">  </w:t>
            </w:r>
            <w:r w:rsidR="000525F7" w:rsidRPr="00EC141F">
              <w:rPr>
                <w:rFonts w:ascii="Arial Narrow" w:hAnsi="Arial Narrow"/>
                <w:b/>
                <w:sz w:val="12"/>
                <w:szCs w:val="12"/>
              </w:rPr>
              <w:t>CENTRUL NA</w:t>
            </w:r>
            <w:r w:rsidR="000525F7" w:rsidRPr="00EC141F">
              <w:rPr>
                <w:rFonts w:ascii="Arial Narrow" w:hAnsi="Arial Narrow"/>
                <w:b/>
                <w:sz w:val="12"/>
                <w:szCs w:val="12"/>
                <w:lang w:val="ro-RO"/>
              </w:rPr>
              <w:t>Ț</w:t>
            </w:r>
            <w:r w:rsidR="000525F7" w:rsidRPr="00EC141F">
              <w:rPr>
                <w:rFonts w:ascii="Arial Narrow" w:hAnsi="Arial Narrow"/>
                <w:b/>
                <w:sz w:val="12"/>
                <w:szCs w:val="12"/>
              </w:rPr>
              <w:t xml:space="preserve">IONAL </w:t>
            </w:r>
            <w:r w:rsidR="00935D2A" w:rsidRPr="00EC141F">
              <w:rPr>
                <w:rFonts w:ascii="Arial Narrow" w:hAnsi="Arial Narrow"/>
                <w:b/>
                <w:sz w:val="12"/>
                <w:szCs w:val="12"/>
              </w:rPr>
              <w:t xml:space="preserve">EVALUAREA SI </w:t>
            </w:r>
            <w:r w:rsidR="00B74812" w:rsidRPr="00EC141F">
              <w:rPr>
                <w:rFonts w:ascii="Arial Narrow" w:hAnsi="Arial Narrow"/>
                <w:b/>
                <w:sz w:val="12"/>
                <w:szCs w:val="12"/>
              </w:rPr>
              <w:t xml:space="preserve">                               </w:t>
            </w:r>
            <w:r w:rsidR="00EC141F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B74812" w:rsidRPr="00EC141F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EC141F">
              <w:rPr>
                <w:rFonts w:ascii="Arial Narrow" w:hAnsi="Arial Narrow"/>
                <w:b/>
                <w:sz w:val="12"/>
                <w:szCs w:val="12"/>
              </w:rPr>
              <w:t xml:space="preserve">     </w:t>
            </w:r>
            <w:r w:rsidR="00B74812" w:rsidRPr="00EC141F">
              <w:rPr>
                <w:rFonts w:ascii="Arial Narrow" w:hAnsi="Arial Narrow"/>
                <w:b/>
                <w:sz w:val="12"/>
                <w:szCs w:val="12"/>
              </w:rPr>
              <w:t xml:space="preserve">       CENTRUL REGIONAL</w:t>
            </w:r>
          </w:p>
          <w:p w:rsidR="006D0A7C" w:rsidRPr="00D56CFB" w:rsidRDefault="00041F78" w:rsidP="00EC14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 w:rsidRPr="00EC141F">
              <w:rPr>
                <w:rFonts w:ascii="Arial Narrow" w:hAnsi="Arial Narrow"/>
                <w:b/>
                <w:sz w:val="12"/>
                <w:szCs w:val="12"/>
              </w:rPr>
              <w:t xml:space="preserve">           </w:t>
            </w:r>
            <w:r w:rsidR="00EC141F">
              <w:rPr>
                <w:rFonts w:ascii="Arial Narrow" w:hAnsi="Arial Narrow"/>
                <w:b/>
                <w:sz w:val="12"/>
                <w:szCs w:val="12"/>
              </w:rPr>
              <w:t xml:space="preserve">      </w:t>
            </w:r>
            <w:r w:rsidRPr="00EC141F">
              <w:rPr>
                <w:rFonts w:ascii="Arial Narrow" w:hAnsi="Arial Narrow"/>
                <w:b/>
                <w:sz w:val="12"/>
                <w:szCs w:val="12"/>
              </w:rPr>
              <w:t xml:space="preserve"> </w:t>
            </w:r>
            <w:r w:rsidR="006D0A7C" w:rsidRPr="00EC141F">
              <w:rPr>
                <w:rFonts w:ascii="Arial Narrow" w:hAnsi="Arial Narrow"/>
                <w:b/>
                <w:sz w:val="12"/>
                <w:szCs w:val="12"/>
              </w:rPr>
              <w:t xml:space="preserve">DE SĂNĂTATE PUBLICĂ                                               </w:t>
            </w:r>
            <w:r w:rsidR="00EC141F">
              <w:rPr>
                <w:rFonts w:ascii="Arial Narrow" w:hAnsi="Arial Narrow"/>
                <w:b/>
                <w:sz w:val="12"/>
                <w:szCs w:val="12"/>
              </w:rPr>
              <w:t xml:space="preserve">                                             </w:t>
            </w:r>
            <w:r w:rsidR="006D0A7C" w:rsidRPr="00EC141F">
              <w:rPr>
                <w:b/>
                <w:color w:val="C00000"/>
                <w:sz w:val="12"/>
                <w:szCs w:val="12"/>
              </w:rPr>
              <w:t xml:space="preserve">        </w:t>
            </w:r>
            <w:r w:rsidR="006D0A7C" w:rsidRPr="00EC141F">
              <w:rPr>
                <w:rFonts w:ascii="Arial Narrow" w:hAnsi="Arial Narrow"/>
                <w:b/>
                <w:sz w:val="12"/>
                <w:szCs w:val="12"/>
              </w:rPr>
              <w:t xml:space="preserve">              </w:t>
            </w:r>
            <w:r w:rsidR="00935D2A" w:rsidRPr="00EC141F">
              <w:rPr>
                <w:rFonts w:ascii="Arial Narrow" w:hAnsi="Arial Narrow"/>
                <w:b/>
                <w:sz w:val="12"/>
                <w:szCs w:val="12"/>
              </w:rPr>
              <w:t xml:space="preserve">PROMOVAREA STARII </w:t>
            </w:r>
            <w:r w:rsidR="00B74812" w:rsidRPr="00EC141F">
              <w:rPr>
                <w:rFonts w:ascii="Arial Narrow" w:hAnsi="Arial Narrow"/>
                <w:b/>
                <w:sz w:val="12"/>
                <w:szCs w:val="12"/>
              </w:rPr>
              <w:t xml:space="preserve">DE SĂNĂTATE BUCUREȘTI       </w:t>
            </w:r>
            <w:r w:rsidR="00EC141F">
              <w:rPr>
                <w:rFonts w:ascii="Arial Narrow" w:hAnsi="Arial Narrow"/>
                <w:b/>
                <w:sz w:val="12"/>
                <w:szCs w:val="12"/>
              </w:rPr>
              <w:t xml:space="preserve">            </w:t>
            </w:r>
            <w:r w:rsidR="00B74812" w:rsidRPr="00EC141F">
              <w:rPr>
                <w:rFonts w:ascii="Arial Narrow" w:hAnsi="Arial Narrow"/>
                <w:b/>
                <w:sz w:val="12"/>
                <w:szCs w:val="12"/>
              </w:rPr>
              <w:t xml:space="preserve">   DE SĂNĂTATE PUBLICĂ BUCUREȘTI</w:t>
            </w:r>
          </w:p>
        </w:tc>
        <w:tc>
          <w:tcPr>
            <w:tcW w:w="12510" w:type="dxa"/>
            <w:shd w:val="clear" w:color="auto" w:fill="FFFFFF"/>
          </w:tcPr>
          <w:p w:rsidR="00A45C6C" w:rsidRPr="00A45C6C" w:rsidRDefault="00A45C6C" w:rsidP="00EC141F">
            <w:pPr>
              <w:spacing w:after="0" w:line="240" w:lineRule="auto"/>
              <w:ind w:left="-187"/>
              <w:contextualSpacing/>
              <w:jc w:val="center"/>
              <w:rPr>
                <w:rFonts w:ascii="Times New Roman" w:hAnsi="Times New Roman"/>
                <w:b/>
                <w:i/>
                <w:sz w:val="12"/>
                <w:szCs w:val="12"/>
              </w:rPr>
            </w:pPr>
          </w:p>
          <w:p w:rsidR="004654F3" w:rsidRPr="00C37AC6" w:rsidRDefault="004654F3" w:rsidP="00EC141F">
            <w:pPr>
              <w:spacing w:after="0" w:line="240" w:lineRule="auto"/>
              <w:ind w:left="-187"/>
              <w:contextualSpacing/>
              <w:jc w:val="center"/>
              <w:rPr>
                <w:rFonts w:ascii="Times New Roman" w:hAnsi="Times New Roman"/>
                <w:b/>
                <w:i/>
                <w:color w:val="C00000"/>
                <w:sz w:val="32"/>
                <w:szCs w:val="32"/>
              </w:rPr>
            </w:pPr>
            <w:r w:rsidRPr="00C37AC6">
              <w:rPr>
                <w:rFonts w:ascii="Times New Roman" w:hAnsi="Times New Roman"/>
                <w:b/>
                <w:i/>
                <w:color w:val="C00000"/>
                <w:sz w:val="32"/>
                <w:szCs w:val="32"/>
              </w:rPr>
              <w:t xml:space="preserve">Îngrijirile de sănătate </w:t>
            </w:r>
          </w:p>
          <w:p w:rsidR="006D0A7C" w:rsidRPr="00A55729" w:rsidRDefault="004654F3" w:rsidP="00EC141F">
            <w:pPr>
              <w:spacing w:after="0" w:line="240" w:lineRule="auto"/>
              <w:ind w:left="-187"/>
              <w:contextualSpacing/>
              <w:jc w:val="center"/>
            </w:pPr>
            <w:r w:rsidRPr="00C37AC6">
              <w:rPr>
                <w:rFonts w:ascii="Times New Roman" w:hAnsi="Times New Roman"/>
                <w:b/>
                <w:i/>
                <w:color w:val="C00000"/>
                <w:sz w:val="32"/>
                <w:szCs w:val="32"/>
              </w:rPr>
              <w:t>încă din perioada de preconcepție oferă bebelușului un început sănătos în viață!</w:t>
            </w:r>
          </w:p>
        </w:tc>
      </w:tr>
    </w:tbl>
    <w:p w:rsidR="0013769E" w:rsidRDefault="0013769E" w:rsidP="00EC141F">
      <w:pPr>
        <w:spacing w:after="0" w:line="240" w:lineRule="auto"/>
      </w:pPr>
    </w:p>
    <w:sectPr w:rsidR="0013769E" w:rsidSect="00D779FB">
      <w:pgSz w:w="25517" w:h="18144" w:orient="landscape" w:code="9"/>
      <w:pgMar w:top="720" w:right="432" w:bottom="720" w:left="432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5F44"/>
    <w:multiLevelType w:val="hybridMultilevel"/>
    <w:tmpl w:val="72C8D1FE"/>
    <w:lvl w:ilvl="0" w:tplc="D6728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  <w:szCs w:val="1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68EE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  <w:color w:val="auto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07BDE"/>
    <w:multiLevelType w:val="hybridMultilevel"/>
    <w:tmpl w:val="AC9ED7EE"/>
    <w:lvl w:ilvl="0" w:tplc="04090009">
      <w:start w:val="1"/>
      <w:numFmt w:val="bullet"/>
      <w:lvlText w:val=""/>
      <w:lvlJc w:val="left"/>
      <w:pPr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">
    <w:nsid w:val="1CC8649B"/>
    <w:multiLevelType w:val="hybridMultilevel"/>
    <w:tmpl w:val="B414F33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373CA"/>
    <w:multiLevelType w:val="hybridMultilevel"/>
    <w:tmpl w:val="B406C92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F7576"/>
    <w:multiLevelType w:val="hybridMultilevel"/>
    <w:tmpl w:val="20500E9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11DF0"/>
    <w:multiLevelType w:val="hybridMultilevel"/>
    <w:tmpl w:val="71AE7EA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A34758"/>
    <w:multiLevelType w:val="hybridMultilevel"/>
    <w:tmpl w:val="A518F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2A1528"/>
    <w:multiLevelType w:val="hybridMultilevel"/>
    <w:tmpl w:val="495A8B38"/>
    <w:lvl w:ilvl="0" w:tplc="08090009">
      <w:start w:val="1"/>
      <w:numFmt w:val="bullet"/>
      <w:lvlText w:val=""/>
      <w:lvlJc w:val="left"/>
      <w:pPr>
        <w:ind w:left="111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>
    <w:nsid w:val="5A677A08"/>
    <w:multiLevelType w:val="hybridMultilevel"/>
    <w:tmpl w:val="AAC85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386383"/>
    <w:multiLevelType w:val="hybridMultilevel"/>
    <w:tmpl w:val="19B8EA7A"/>
    <w:lvl w:ilvl="0" w:tplc="DD60315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2A4216"/>
    <w:multiLevelType w:val="hybridMultilevel"/>
    <w:tmpl w:val="2EF026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A85379"/>
    <w:multiLevelType w:val="hybridMultilevel"/>
    <w:tmpl w:val="124EB4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8B7B21"/>
    <w:multiLevelType w:val="hybridMultilevel"/>
    <w:tmpl w:val="F0B4D1C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3B95C6F"/>
    <w:multiLevelType w:val="hybridMultilevel"/>
    <w:tmpl w:val="E98EB55E"/>
    <w:lvl w:ilvl="0" w:tplc="3E247C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3232EF"/>
    <w:multiLevelType w:val="hybridMultilevel"/>
    <w:tmpl w:val="8B84B202"/>
    <w:lvl w:ilvl="0" w:tplc="869ECD7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4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  <w:num w:numId="13">
    <w:abstractNumId w:val="12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D0A7C"/>
    <w:rsid w:val="000137D2"/>
    <w:rsid w:val="00021435"/>
    <w:rsid w:val="00034D31"/>
    <w:rsid w:val="00041F78"/>
    <w:rsid w:val="000525F7"/>
    <w:rsid w:val="00057EA8"/>
    <w:rsid w:val="000607EE"/>
    <w:rsid w:val="00060837"/>
    <w:rsid w:val="00065E86"/>
    <w:rsid w:val="00066022"/>
    <w:rsid w:val="000702A5"/>
    <w:rsid w:val="00075C62"/>
    <w:rsid w:val="000D3BD6"/>
    <w:rsid w:val="000D7653"/>
    <w:rsid w:val="000E11B1"/>
    <w:rsid w:val="000E2C59"/>
    <w:rsid w:val="000F66B8"/>
    <w:rsid w:val="001004C8"/>
    <w:rsid w:val="00102614"/>
    <w:rsid w:val="00105451"/>
    <w:rsid w:val="0012603C"/>
    <w:rsid w:val="001315BD"/>
    <w:rsid w:val="0013769E"/>
    <w:rsid w:val="00141BB8"/>
    <w:rsid w:val="001432DD"/>
    <w:rsid w:val="00143619"/>
    <w:rsid w:val="001443CC"/>
    <w:rsid w:val="00146B7D"/>
    <w:rsid w:val="0016238E"/>
    <w:rsid w:val="001656DF"/>
    <w:rsid w:val="001716F9"/>
    <w:rsid w:val="001768CF"/>
    <w:rsid w:val="001972BE"/>
    <w:rsid w:val="001B38D6"/>
    <w:rsid w:val="001C4427"/>
    <w:rsid w:val="001C4794"/>
    <w:rsid w:val="001D2129"/>
    <w:rsid w:val="001D59BE"/>
    <w:rsid w:val="001F48A2"/>
    <w:rsid w:val="00203059"/>
    <w:rsid w:val="00207D08"/>
    <w:rsid w:val="0021544B"/>
    <w:rsid w:val="00234211"/>
    <w:rsid w:val="00236D6B"/>
    <w:rsid w:val="0025406C"/>
    <w:rsid w:val="00255770"/>
    <w:rsid w:val="00260374"/>
    <w:rsid w:val="00274399"/>
    <w:rsid w:val="00276C58"/>
    <w:rsid w:val="00277119"/>
    <w:rsid w:val="00294CC3"/>
    <w:rsid w:val="002A7FC2"/>
    <w:rsid w:val="002B50CF"/>
    <w:rsid w:val="002B6C72"/>
    <w:rsid w:val="002C287F"/>
    <w:rsid w:val="002E554C"/>
    <w:rsid w:val="002E62A9"/>
    <w:rsid w:val="002E7E51"/>
    <w:rsid w:val="002F2A1F"/>
    <w:rsid w:val="002F35B4"/>
    <w:rsid w:val="002F4E30"/>
    <w:rsid w:val="002F783D"/>
    <w:rsid w:val="00310489"/>
    <w:rsid w:val="00314607"/>
    <w:rsid w:val="00315C37"/>
    <w:rsid w:val="00334722"/>
    <w:rsid w:val="0034716E"/>
    <w:rsid w:val="00354F88"/>
    <w:rsid w:val="003565F8"/>
    <w:rsid w:val="00381D71"/>
    <w:rsid w:val="003953B4"/>
    <w:rsid w:val="003A5DED"/>
    <w:rsid w:val="003A7337"/>
    <w:rsid w:val="003B345C"/>
    <w:rsid w:val="003B65A8"/>
    <w:rsid w:val="003B68BF"/>
    <w:rsid w:val="003C2B71"/>
    <w:rsid w:val="003D7BC9"/>
    <w:rsid w:val="003E181C"/>
    <w:rsid w:val="003E4F69"/>
    <w:rsid w:val="003E78AA"/>
    <w:rsid w:val="00401BA2"/>
    <w:rsid w:val="00402676"/>
    <w:rsid w:val="00410393"/>
    <w:rsid w:val="00415573"/>
    <w:rsid w:val="004353C5"/>
    <w:rsid w:val="00440EDB"/>
    <w:rsid w:val="004420F9"/>
    <w:rsid w:val="004471AD"/>
    <w:rsid w:val="00452640"/>
    <w:rsid w:val="00455781"/>
    <w:rsid w:val="004609CC"/>
    <w:rsid w:val="004654F3"/>
    <w:rsid w:val="0047243C"/>
    <w:rsid w:val="00483160"/>
    <w:rsid w:val="004A183B"/>
    <w:rsid w:val="004A1E94"/>
    <w:rsid w:val="004B229D"/>
    <w:rsid w:val="004D036E"/>
    <w:rsid w:val="004D1497"/>
    <w:rsid w:val="004D35B0"/>
    <w:rsid w:val="004D4E69"/>
    <w:rsid w:val="004E2324"/>
    <w:rsid w:val="004F0BA3"/>
    <w:rsid w:val="004F152D"/>
    <w:rsid w:val="004F6239"/>
    <w:rsid w:val="00505115"/>
    <w:rsid w:val="005063B7"/>
    <w:rsid w:val="00506EA9"/>
    <w:rsid w:val="0051163B"/>
    <w:rsid w:val="00515D73"/>
    <w:rsid w:val="005303F4"/>
    <w:rsid w:val="00530E62"/>
    <w:rsid w:val="005352AC"/>
    <w:rsid w:val="00567AEE"/>
    <w:rsid w:val="005948DE"/>
    <w:rsid w:val="005966FB"/>
    <w:rsid w:val="005B397A"/>
    <w:rsid w:val="005C3CFD"/>
    <w:rsid w:val="005D47D5"/>
    <w:rsid w:val="005E01D0"/>
    <w:rsid w:val="005E6FA4"/>
    <w:rsid w:val="006022DA"/>
    <w:rsid w:val="00602409"/>
    <w:rsid w:val="006218F4"/>
    <w:rsid w:val="006365A4"/>
    <w:rsid w:val="00645F98"/>
    <w:rsid w:val="006560FE"/>
    <w:rsid w:val="00666E80"/>
    <w:rsid w:val="006A1A44"/>
    <w:rsid w:val="006A28CC"/>
    <w:rsid w:val="006A34D0"/>
    <w:rsid w:val="006C05F2"/>
    <w:rsid w:val="006C5958"/>
    <w:rsid w:val="006C718E"/>
    <w:rsid w:val="006D0A7C"/>
    <w:rsid w:val="006E3E15"/>
    <w:rsid w:val="006F1707"/>
    <w:rsid w:val="006F2156"/>
    <w:rsid w:val="006F4050"/>
    <w:rsid w:val="00711FD7"/>
    <w:rsid w:val="0071602D"/>
    <w:rsid w:val="00750518"/>
    <w:rsid w:val="00761E82"/>
    <w:rsid w:val="00786A02"/>
    <w:rsid w:val="007903BC"/>
    <w:rsid w:val="00794BBE"/>
    <w:rsid w:val="0079611C"/>
    <w:rsid w:val="00797CB7"/>
    <w:rsid w:val="007A2F1B"/>
    <w:rsid w:val="007A331F"/>
    <w:rsid w:val="007A638E"/>
    <w:rsid w:val="007A64C4"/>
    <w:rsid w:val="007B26FE"/>
    <w:rsid w:val="007C19C4"/>
    <w:rsid w:val="007C5A99"/>
    <w:rsid w:val="007D3A4A"/>
    <w:rsid w:val="007E1D6B"/>
    <w:rsid w:val="007F0D20"/>
    <w:rsid w:val="007F7951"/>
    <w:rsid w:val="00807E36"/>
    <w:rsid w:val="00824FFC"/>
    <w:rsid w:val="008256A6"/>
    <w:rsid w:val="00835BAF"/>
    <w:rsid w:val="0084505F"/>
    <w:rsid w:val="00846795"/>
    <w:rsid w:val="00860039"/>
    <w:rsid w:val="0086625F"/>
    <w:rsid w:val="0087542A"/>
    <w:rsid w:val="00883E51"/>
    <w:rsid w:val="00884D97"/>
    <w:rsid w:val="00885997"/>
    <w:rsid w:val="00892612"/>
    <w:rsid w:val="00894E39"/>
    <w:rsid w:val="008A2651"/>
    <w:rsid w:val="008B45D6"/>
    <w:rsid w:val="008D5F02"/>
    <w:rsid w:val="008E1810"/>
    <w:rsid w:val="008F0611"/>
    <w:rsid w:val="008F1C42"/>
    <w:rsid w:val="008F7F9A"/>
    <w:rsid w:val="009017D8"/>
    <w:rsid w:val="009169E0"/>
    <w:rsid w:val="009213F7"/>
    <w:rsid w:val="00932D87"/>
    <w:rsid w:val="009336CD"/>
    <w:rsid w:val="00935D2A"/>
    <w:rsid w:val="00942D16"/>
    <w:rsid w:val="009743F0"/>
    <w:rsid w:val="00974A1E"/>
    <w:rsid w:val="00974AFA"/>
    <w:rsid w:val="009A023A"/>
    <w:rsid w:val="009D0C55"/>
    <w:rsid w:val="009D3A56"/>
    <w:rsid w:val="009E0480"/>
    <w:rsid w:val="009E5431"/>
    <w:rsid w:val="009E6114"/>
    <w:rsid w:val="009F7318"/>
    <w:rsid w:val="00A02D11"/>
    <w:rsid w:val="00A10959"/>
    <w:rsid w:val="00A11ED0"/>
    <w:rsid w:val="00A3132E"/>
    <w:rsid w:val="00A4178C"/>
    <w:rsid w:val="00A45C6C"/>
    <w:rsid w:val="00A473B5"/>
    <w:rsid w:val="00A473D0"/>
    <w:rsid w:val="00A5317D"/>
    <w:rsid w:val="00A55729"/>
    <w:rsid w:val="00A62E80"/>
    <w:rsid w:val="00A7090B"/>
    <w:rsid w:val="00A71304"/>
    <w:rsid w:val="00A72CC5"/>
    <w:rsid w:val="00A77D9A"/>
    <w:rsid w:val="00A83EC6"/>
    <w:rsid w:val="00A87D11"/>
    <w:rsid w:val="00A9590D"/>
    <w:rsid w:val="00AA1445"/>
    <w:rsid w:val="00AD477C"/>
    <w:rsid w:val="00AE000A"/>
    <w:rsid w:val="00AE4B47"/>
    <w:rsid w:val="00AF11FF"/>
    <w:rsid w:val="00AF1BB9"/>
    <w:rsid w:val="00AF39A9"/>
    <w:rsid w:val="00AF5B23"/>
    <w:rsid w:val="00B07C8C"/>
    <w:rsid w:val="00B147F6"/>
    <w:rsid w:val="00B15B8E"/>
    <w:rsid w:val="00B21363"/>
    <w:rsid w:val="00B463B7"/>
    <w:rsid w:val="00B52845"/>
    <w:rsid w:val="00B74812"/>
    <w:rsid w:val="00B8076C"/>
    <w:rsid w:val="00BA74FE"/>
    <w:rsid w:val="00BC0022"/>
    <w:rsid w:val="00BC0893"/>
    <w:rsid w:val="00BC58B0"/>
    <w:rsid w:val="00BC73DB"/>
    <w:rsid w:val="00BD1E77"/>
    <w:rsid w:val="00BE01C1"/>
    <w:rsid w:val="00BE0C3E"/>
    <w:rsid w:val="00BF03AD"/>
    <w:rsid w:val="00BF6AA6"/>
    <w:rsid w:val="00C01093"/>
    <w:rsid w:val="00C06E59"/>
    <w:rsid w:val="00C0716B"/>
    <w:rsid w:val="00C11787"/>
    <w:rsid w:val="00C152ED"/>
    <w:rsid w:val="00C328E1"/>
    <w:rsid w:val="00C37AC6"/>
    <w:rsid w:val="00C417EA"/>
    <w:rsid w:val="00C50EDE"/>
    <w:rsid w:val="00C543B2"/>
    <w:rsid w:val="00C5771A"/>
    <w:rsid w:val="00C60399"/>
    <w:rsid w:val="00C66FD8"/>
    <w:rsid w:val="00C84B4C"/>
    <w:rsid w:val="00CA6FA4"/>
    <w:rsid w:val="00CB137C"/>
    <w:rsid w:val="00CC0D8B"/>
    <w:rsid w:val="00CC76E9"/>
    <w:rsid w:val="00CE146C"/>
    <w:rsid w:val="00CE5D35"/>
    <w:rsid w:val="00D129B2"/>
    <w:rsid w:val="00D3265B"/>
    <w:rsid w:val="00D437A0"/>
    <w:rsid w:val="00D510C7"/>
    <w:rsid w:val="00D725F2"/>
    <w:rsid w:val="00D75E35"/>
    <w:rsid w:val="00D779FB"/>
    <w:rsid w:val="00D8031B"/>
    <w:rsid w:val="00D90477"/>
    <w:rsid w:val="00DA21D4"/>
    <w:rsid w:val="00DA2621"/>
    <w:rsid w:val="00DA606D"/>
    <w:rsid w:val="00DA6A44"/>
    <w:rsid w:val="00DC247A"/>
    <w:rsid w:val="00DD6D71"/>
    <w:rsid w:val="00DF0440"/>
    <w:rsid w:val="00E06480"/>
    <w:rsid w:val="00E15315"/>
    <w:rsid w:val="00E15726"/>
    <w:rsid w:val="00E26EA8"/>
    <w:rsid w:val="00E311EE"/>
    <w:rsid w:val="00E35CBA"/>
    <w:rsid w:val="00E35EB6"/>
    <w:rsid w:val="00E44E21"/>
    <w:rsid w:val="00E52BE6"/>
    <w:rsid w:val="00E53519"/>
    <w:rsid w:val="00E9212D"/>
    <w:rsid w:val="00E93686"/>
    <w:rsid w:val="00E955EC"/>
    <w:rsid w:val="00EB16F4"/>
    <w:rsid w:val="00EC141F"/>
    <w:rsid w:val="00ED3FA4"/>
    <w:rsid w:val="00ED510C"/>
    <w:rsid w:val="00EE15EA"/>
    <w:rsid w:val="00F13C6D"/>
    <w:rsid w:val="00F15D07"/>
    <w:rsid w:val="00F265C6"/>
    <w:rsid w:val="00F36796"/>
    <w:rsid w:val="00F36E9D"/>
    <w:rsid w:val="00F37CE8"/>
    <w:rsid w:val="00F42AF0"/>
    <w:rsid w:val="00F47C98"/>
    <w:rsid w:val="00F54193"/>
    <w:rsid w:val="00F56498"/>
    <w:rsid w:val="00F601C2"/>
    <w:rsid w:val="00F81576"/>
    <w:rsid w:val="00F82B59"/>
    <w:rsid w:val="00F8673F"/>
    <w:rsid w:val="00FA0C6B"/>
    <w:rsid w:val="00FC084B"/>
    <w:rsid w:val="00FD46AA"/>
    <w:rsid w:val="00FD7E17"/>
    <w:rsid w:val="00FE6E91"/>
    <w:rsid w:val="00FE7FAD"/>
    <w:rsid w:val="00FF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9f,#4ad5d2,#00dbd6,#00c0bb,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A7C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0214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3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C58B0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2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4211"/>
    <w:rPr>
      <w:rFonts w:ascii="Segoe UI" w:hAnsi="Segoe UI" w:cs="Segoe UI"/>
      <w:sz w:val="18"/>
      <w:szCs w:val="18"/>
      <w:lang w:val="en-US" w:eastAsia="en-US"/>
    </w:rPr>
  </w:style>
  <w:style w:type="character" w:customStyle="1" w:styleId="Heading2Char">
    <w:name w:val="Heading 2 Char"/>
    <w:link w:val="Heading2"/>
    <w:uiPriority w:val="9"/>
    <w:rsid w:val="00021435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styleId="FollowedHyperlink">
    <w:name w:val="FollowedHyperlink"/>
    <w:uiPriority w:val="99"/>
    <w:semiHidden/>
    <w:unhideWhenUsed/>
    <w:rsid w:val="004F6239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D3A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9743F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2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emf"/><Relationship Id="rId18" Type="http://schemas.openxmlformats.org/officeDocument/2006/relationships/image" Target="cid:image001.png@01D79366.9D6BBD7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emf"/><Relationship Id="rId12" Type="http://schemas.openxmlformats.org/officeDocument/2006/relationships/chart" Target="charts/chart2.xml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4.emf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ana_\Downloads\echi-export-DSEFI003010-EU28_RO-2011_2012_2013_2014_2015_2016_2017_2018_2019_2020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bana_\Downloads\echi-export-HSIND010011-EU28_RO-2019_2018_2017_2016_2015_2014_2013_2012_2011_2010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'[echi-export-DSEFI003010-EU28_RO-2011_2012_2013_2014_2015_2016_2017_2018_2019_2020.xlsx]Worksheet'!$H$2</c:f>
              <c:strCache>
                <c:ptCount val="1"/>
                <c:pt idx="0">
                  <c:v>RO</c:v>
                </c:pt>
              </c:strCache>
            </c:strRef>
          </c:tx>
          <c:dLbls>
            <c:showVal val="1"/>
          </c:dLbls>
          <c:cat>
            <c:numRef>
              <c:f>'[echi-export-DSEFI003010-EU28_RO-2011_2012_2013_2014_2015_2016_2017_2018_2019_2020.xlsx]Worksheet'!$G$3:$G$12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'[echi-export-DSEFI003010-EU28_RO-2011_2012_2013_2014_2015_2016_2017_2018_2019_2020.xlsx]Worksheet'!$H$3:$H$12</c:f>
              <c:numCache>
                <c:formatCode>General</c:formatCode>
                <c:ptCount val="10"/>
                <c:pt idx="0">
                  <c:v>9.7000000000000011</c:v>
                </c:pt>
                <c:pt idx="1">
                  <c:v>10</c:v>
                </c:pt>
                <c:pt idx="2">
                  <c:v>9.4</c:v>
                </c:pt>
                <c:pt idx="3">
                  <c:v>10</c:v>
                </c:pt>
                <c:pt idx="4">
                  <c:v>10.200000000000001</c:v>
                </c:pt>
                <c:pt idx="5">
                  <c:v>10.4</c:v>
                </c:pt>
                <c:pt idx="6">
                  <c:v>10.8</c:v>
                </c:pt>
                <c:pt idx="7">
                  <c:v>10.4</c:v>
                </c:pt>
                <c:pt idx="8">
                  <c:v>10.3</c:v>
                </c:pt>
                <c:pt idx="9">
                  <c:v>9.2000000000000011</c:v>
                </c:pt>
              </c:numCache>
            </c:numRef>
          </c:val>
        </c:ser>
        <c:ser>
          <c:idx val="1"/>
          <c:order val="1"/>
          <c:tx>
            <c:strRef>
              <c:f>'[echi-export-DSEFI003010-EU28_RO-2011_2012_2013_2014_2015_2016_2017_2018_2019_2020.xlsx]Worksheet'!$I$2</c:f>
              <c:strCache>
                <c:ptCount val="1"/>
                <c:pt idx="0">
                  <c:v>EU28</c:v>
                </c:pt>
              </c:strCache>
            </c:strRef>
          </c:tx>
          <c:dLbls>
            <c:showVal val="1"/>
          </c:dLbls>
          <c:cat>
            <c:numRef>
              <c:f>'[echi-export-DSEFI003010-EU28_RO-2011_2012_2013_2014_2015_2016_2017_2018_2019_2020.xlsx]Worksheet'!$G$3:$G$12</c:f>
              <c:numCache>
                <c:formatCode>General</c:formatCode>
                <c:ptCount val="10"/>
                <c:pt idx="0">
                  <c:v>2011</c:v>
                </c:pt>
                <c:pt idx="1">
                  <c:v>2012</c:v>
                </c:pt>
                <c:pt idx="2">
                  <c:v>2013</c:v>
                </c:pt>
                <c:pt idx="3">
                  <c:v>2014</c:v>
                </c:pt>
                <c:pt idx="4">
                  <c:v>2015</c:v>
                </c:pt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'[echi-export-DSEFI003010-EU28_RO-2011_2012_2013_2014_2015_2016_2017_2018_2019_2020.xlsx]Worksheet'!$I$3:$I$11</c:f>
              <c:numCache>
                <c:formatCode>General</c:formatCode>
                <c:ptCount val="9"/>
                <c:pt idx="0">
                  <c:v>10.5</c:v>
                </c:pt>
                <c:pt idx="1">
                  <c:v>10.4</c:v>
                </c:pt>
                <c:pt idx="2">
                  <c:v>10</c:v>
                </c:pt>
                <c:pt idx="3">
                  <c:v>10.1</c:v>
                </c:pt>
                <c:pt idx="4">
                  <c:v>10</c:v>
                </c:pt>
                <c:pt idx="5">
                  <c:v>10.1</c:v>
                </c:pt>
                <c:pt idx="6">
                  <c:v>9.9</c:v>
                </c:pt>
                <c:pt idx="7">
                  <c:v>9.7000000000000011</c:v>
                </c:pt>
                <c:pt idx="8">
                  <c:v>9.5</c:v>
                </c:pt>
              </c:numCache>
            </c:numRef>
          </c:val>
        </c:ser>
        <c:dLbls>
          <c:showVal val="1"/>
        </c:dLbls>
        <c:gapWidth val="75"/>
        <c:axId val="142657024"/>
        <c:axId val="142658560"/>
      </c:barChart>
      <c:catAx>
        <c:axId val="142657024"/>
        <c:scaling>
          <c:orientation val="minMax"/>
        </c:scaling>
        <c:axPos val="b"/>
        <c:numFmt formatCode="General" sourceLinked="1"/>
        <c:majorTickMark val="none"/>
        <c:tickLblPos val="nextTo"/>
        <c:crossAx val="142658560"/>
        <c:crosses val="autoZero"/>
        <c:auto val="1"/>
        <c:lblAlgn val="ctr"/>
        <c:lblOffset val="100"/>
      </c:catAx>
      <c:valAx>
        <c:axId val="142658560"/>
        <c:scaling>
          <c:orientation val="minMax"/>
        </c:scaling>
        <c:axPos val="l"/>
        <c:numFmt formatCode="General" sourceLinked="1"/>
        <c:majorTickMark val="none"/>
        <c:tickLblPos val="nextTo"/>
        <c:crossAx val="142657024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'[echi-export-HSIND010011-EU28_RO-2019_2018_2017_2016_2015_2014_2013_2012_2011_2010.xlsx]Worksheet'!$J$2</c:f>
              <c:strCache>
                <c:ptCount val="1"/>
                <c:pt idx="0">
                  <c:v>RO</c:v>
                </c:pt>
              </c:strCache>
            </c:strRef>
          </c:tx>
          <c:dLbls>
            <c:showVal val="1"/>
          </c:dLbls>
          <c:cat>
            <c:numRef>
              <c:f>'[echi-export-HSIND010011-EU28_RO-2019_2018_2017_2016_2015_2014_2013_2012_2011_2010.xlsx]Worksheet'!$I$3:$I$12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'[echi-export-HSIND010011-EU28_RO-2019_2018_2017_2016_2015_2014_2013_2012_2011_2010.xlsx]Worksheet'!$J$3:$J$12</c:f>
              <c:numCache>
                <c:formatCode>General</c:formatCode>
                <c:ptCount val="10"/>
                <c:pt idx="0">
                  <c:v>9.8000000000000007</c:v>
                </c:pt>
                <c:pt idx="1">
                  <c:v>9.4</c:v>
                </c:pt>
                <c:pt idx="2">
                  <c:v>9</c:v>
                </c:pt>
                <c:pt idx="3">
                  <c:v>8.9</c:v>
                </c:pt>
                <c:pt idx="4">
                  <c:v>8.2000000000000011</c:v>
                </c:pt>
                <c:pt idx="5">
                  <c:v>7.5</c:v>
                </c:pt>
                <c:pt idx="6">
                  <c:v>6.8</c:v>
                </c:pt>
                <c:pt idx="7">
                  <c:v>6.5</c:v>
                </c:pt>
                <c:pt idx="8">
                  <c:v>6</c:v>
                </c:pt>
                <c:pt idx="9">
                  <c:v>5.8</c:v>
                </c:pt>
              </c:numCache>
            </c:numRef>
          </c:val>
        </c:ser>
        <c:ser>
          <c:idx val="1"/>
          <c:order val="1"/>
          <c:tx>
            <c:strRef>
              <c:f>'[echi-export-HSIND010011-EU28_RO-2019_2018_2017_2016_2015_2014_2013_2012_2011_2010.xlsx]Worksheet'!$K$2</c:f>
              <c:strCache>
                <c:ptCount val="1"/>
                <c:pt idx="0">
                  <c:v>EU28</c:v>
                </c:pt>
              </c:strCache>
            </c:strRef>
          </c:tx>
          <c:dLbls>
            <c:showVal val="1"/>
          </c:dLbls>
          <c:cat>
            <c:numRef>
              <c:f>'[echi-export-HSIND010011-EU28_RO-2019_2018_2017_2016_2015_2014_2013_2012_2011_2010.xlsx]Worksheet'!$I$3:$I$12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'[echi-export-HSIND010011-EU28_RO-2019_2018_2017_2016_2015_2014_2013_2012_2011_2010.xlsx]Worksheet'!$K$3:$K$11</c:f>
              <c:numCache>
                <c:formatCode>General</c:formatCode>
                <c:ptCount val="9"/>
                <c:pt idx="0">
                  <c:v>4</c:v>
                </c:pt>
                <c:pt idx="1">
                  <c:v>3.9</c:v>
                </c:pt>
                <c:pt idx="2">
                  <c:v>3.8</c:v>
                </c:pt>
                <c:pt idx="3">
                  <c:v>3.7</c:v>
                </c:pt>
                <c:pt idx="4">
                  <c:v>3.7</c:v>
                </c:pt>
                <c:pt idx="5">
                  <c:v>3.6</c:v>
                </c:pt>
                <c:pt idx="6">
                  <c:v>3.6</c:v>
                </c:pt>
                <c:pt idx="7">
                  <c:v>3.6</c:v>
                </c:pt>
                <c:pt idx="8">
                  <c:v>3.5</c:v>
                </c:pt>
              </c:numCache>
            </c:numRef>
          </c:val>
        </c:ser>
        <c:dLbls>
          <c:showVal val="1"/>
        </c:dLbls>
        <c:gapWidth val="75"/>
        <c:axId val="138719232"/>
        <c:axId val="138720768"/>
      </c:barChart>
      <c:catAx>
        <c:axId val="138719232"/>
        <c:scaling>
          <c:orientation val="minMax"/>
        </c:scaling>
        <c:axPos val="b"/>
        <c:numFmt formatCode="General" sourceLinked="1"/>
        <c:majorTickMark val="none"/>
        <c:tickLblPos val="nextTo"/>
        <c:crossAx val="138720768"/>
        <c:crosses val="autoZero"/>
        <c:auto val="1"/>
        <c:lblAlgn val="ctr"/>
        <c:lblOffset val="100"/>
      </c:catAx>
      <c:valAx>
        <c:axId val="138720768"/>
        <c:scaling>
          <c:orientation val="minMax"/>
        </c:scaling>
        <c:axPos val="l"/>
        <c:numFmt formatCode="General" sourceLinked="1"/>
        <c:majorTickMark val="none"/>
        <c:tickLblPos val="nextTo"/>
        <c:crossAx val="138719232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62B9-D97D-42ED-8648-5E062DA65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Links>
    <vt:vector size="6" baseType="variant">
      <vt:variant>
        <vt:i4>6815747</vt:i4>
      </vt:variant>
      <vt:variant>
        <vt:i4>3844</vt:i4>
      </vt:variant>
      <vt:variant>
        <vt:i4>1030</vt:i4>
      </vt:variant>
      <vt:variant>
        <vt:i4>1</vt:i4>
      </vt:variant>
      <vt:variant>
        <vt:lpwstr>cid:image001.png@01D79366.9D6BBD70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cp:lastPrinted>2018-11-28T07:21:00Z</cp:lastPrinted>
  <dcterms:created xsi:type="dcterms:W3CDTF">2021-08-25T06:39:00Z</dcterms:created>
  <dcterms:modified xsi:type="dcterms:W3CDTF">2021-08-25T06:39:00Z</dcterms:modified>
</cp:coreProperties>
</file>